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7C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1"/>
          <w:szCs w:val="21"/>
        </w:rPr>
      </w:pPr>
    </w:p>
    <w:p w:rsidR="00496D7C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1"/>
          <w:szCs w:val="21"/>
        </w:rPr>
      </w:pPr>
    </w:p>
    <w:p w:rsidR="00496D7C" w:rsidRPr="00234273" w:rsidRDefault="00496D7C" w:rsidP="00FF3E7F">
      <w:pPr>
        <w:jc w:val="center"/>
        <w:rPr>
          <w:rFonts w:asciiTheme="majorHAnsi" w:hAnsiTheme="majorHAnsi" w:cstheme="majorHAnsi"/>
        </w:rPr>
      </w:pPr>
      <w:r w:rsidRPr="00234273">
        <w:rPr>
          <w:rFonts w:asciiTheme="majorHAnsi" w:eastAsia="Times New Roman" w:hAnsiTheme="majorHAnsi" w:cstheme="majorHAnsi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8302A2" wp14:editId="0308F272">
            <wp:simplePos x="0" y="0"/>
            <wp:positionH relativeFrom="margin">
              <wp:posOffset>5414728</wp:posOffset>
            </wp:positionH>
            <wp:positionV relativeFrom="margin">
              <wp:posOffset>-3175</wp:posOffset>
            </wp:positionV>
            <wp:extent cx="906145" cy="386080"/>
            <wp:effectExtent l="0" t="0" r="0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273">
        <w:rPr>
          <w:rFonts w:asciiTheme="majorHAnsi" w:eastAsia="Times New Roman" w:hAnsiTheme="majorHAnsi" w:cstheme="majorHAnsi"/>
          <w:b/>
          <w:sz w:val="32"/>
        </w:rPr>
        <w:t xml:space="preserve">               Job Description </w:t>
      </w:r>
      <w:r w:rsidRPr="00234273">
        <w:rPr>
          <w:rFonts w:asciiTheme="majorHAnsi" w:eastAsia="Times New Roman" w:hAnsiTheme="majorHAnsi" w:cstheme="majorHAnsi"/>
          <w:b/>
          <w:sz w:val="32"/>
        </w:rPr>
        <w:fldChar w:fldCharType="begin"/>
      </w:r>
      <w:r w:rsidR="006F69E5">
        <w:rPr>
          <w:rFonts w:asciiTheme="majorHAnsi" w:eastAsia="Times New Roman" w:hAnsiTheme="majorHAnsi" w:cstheme="majorHAnsi"/>
          <w:b/>
          <w:sz w:val="32"/>
        </w:rPr>
        <w:instrText xml:space="preserve"> INCLUDEPICTURE "C:\\var\\folders\\23\\08krhn_11v7crmdh4x100s6r0000gn\\T\\com.microsoft.Word\\WebArchiveCopyPasteTempFiles\\logo.png" \* MERGEFORMAT </w:instrText>
      </w:r>
      <w:r w:rsidRPr="00234273">
        <w:rPr>
          <w:rFonts w:asciiTheme="majorHAnsi" w:eastAsia="Times New Roman" w:hAnsiTheme="majorHAnsi" w:cstheme="majorHAnsi"/>
          <w:b/>
          <w:sz w:val="32"/>
        </w:rPr>
        <w:fldChar w:fldCharType="end"/>
      </w:r>
    </w:p>
    <w:p w:rsidR="00496D7C" w:rsidRPr="00234273" w:rsidRDefault="00496D7C" w:rsidP="00496D7C">
      <w:pPr>
        <w:rPr>
          <w:rFonts w:asciiTheme="majorHAnsi" w:hAnsiTheme="majorHAnsi" w:cstheme="maj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496D7C" w:rsidRPr="00234273" w:rsidTr="00F86AF8">
        <w:tc>
          <w:tcPr>
            <w:tcW w:w="2547" w:type="dxa"/>
            <w:shd w:val="clear" w:color="auto" w:fill="00A08D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Job Title:</w:t>
            </w:r>
          </w:p>
        </w:tc>
        <w:tc>
          <w:tcPr>
            <w:tcW w:w="7796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</w:rPr>
            </w:pPr>
            <w:r w:rsidRPr="00234273">
              <w:rPr>
                <w:rFonts w:asciiTheme="majorHAnsi" w:hAnsiTheme="majorHAnsi" w:cstheme="majorHAnsi"/>
                <w:b/>
              </w:rPr>
              <w:t>Specialist Support Practitioner</w:t>
            </w:r>
            <w:r>
              <w:rPr>
                <w:rFonts w:asciiTheme="majorHAnsi" w:hAnsiTheme="majorHAnsi" w:cstheme="majorHAnsi"/>
                <w:b/>
              </w:rPr>
              <w:t xml:space="preserve"> (Immigration Law)</w:t>
            </w:r>
            <w:r w:rsidR="006024A6">
              <w:rPr>
                <w:rFonts w:asciiTheme="majorHAnsi" w:hAnsiTheme="majorHAnsi" w:cstheme="majorHAnsi"/>
                <w:b/>
              </w:rPr>
              <w:t xml:space="preserve"> </w:t>
            </w:r>
            <w:r w:rsidR="00454918">
              <w:rPr>
                <w:rFonts w:asciiTheme="majorHAnsi" w:hAnsiTheme="majorHAnsi" w:cstheme="majorHAnsi"/>
                <w:b/>
              </w:rPr>
              <w:t xml:space="preserve"> -Secondment</w:t>
            </w:r>
            <w:r w:rsidR="006024A6">
              <w:rPr>
                <w:rFonts w:asciiTheme="majorHAnsi" w:hAnsiTheme="majorHAnsi" w:cstheme="majorHAnsi"/>
                <w:b/>
              </w:rPr>
              <w:t xml:space="preserve"> Accepted</w:t>
            </w:r>
          </w:p>
          <w:p w:rsidR="00496D7C" w:rsidRPr="00234273" w:rsidRDefault="00E52F07" w:rsidP="00F86A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(FT &amp; PT)</w:t>
            </w:r>
          </w:p>
        </w:tc>
      </w:tr>
      <w:tr w:rsidR="00496D7C" w:rsidRPr="00234273" w:rsidTr="00F86AF8">
        <w:tc>
          <w:tcPr>
            <w:tcW w:w="2547" w:type="dxa"/>
            <w:shd w:val="clear" w:color="auto" w:fill="00A08D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Reporting to:</w:t>
            </w:r>
          </w:p>
        </w:tc>
        <w:tc>
          <w:tcPr>
            <w:tcW w:w="7796" w:type="dxa"/>
          </w:tcPr>
          <w:p w:rsidR="00496D7C" w:rsidRPr="00234273" w:rsidRDefault="00E52F07" w:rsidP="00F86A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EUSS/Immigration </w:t>
            </w:r>
            <w:r w:rsidR="00887D92">
              <w:rPr>
                <w:rFonts w:asciiTheme="majorHAnsi" w:hAnsiTheme="majorHAnsi" w:cstheme="majorHAnsi"/>
                <w:b/>
              </w:rPr>
              <w:t xml:space="preserve">Services Manager </w:t>
            </w:r>
          </w:p>
        </w:tc>
      </w:tr>
      <w:tr w:rsidR="00496D7C" w:rsidRPr="00234273" w:rsidTr="00F86AF8">
        <w:tc>
          <w:tcPr>
            <w:tcW w:w="2547" w:type="dxa"/>
            <w:shd w:val="clear" w:color="auto" w:fill="00A08D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Working Hours:</w:t>
            </w:r>
          </w:p>
        </w:tc>
        <w:tc>
          <w:tcPr>
            <w:tcW w:w="7796" w:type="dxa"/>
          </w:tcPr>
          <w:p w:rsidR="00496D7C" w:rsidRPr="00234273" w:rsidRDefault="001865FF" w:rsidP="00F86A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35 </w:t>
            </w:r>
            <w:r w:rsidR="00496D7C" w:rsidRPr="00234273">
              <w:rPr>
                <w:rFonts w:asciiTheme="majorHAnsi" w:hAnsiTheme="majorHAnsi" w:cstheme="majorHAnsi"/>
                <w:b/>
              </w:rPr>
              <w:t>hours per week</w:t>
            </w:r>
          </w:p>
        </w:tc>
      </w:tr>
      <w:tr w:rsidR="00ED3AAE" w:rsidRPr="00234273" w:rsidTr="00F86AF8">
        <w:tc>
          <w:tcPr>
            <w:tcW w:w="2547" w:type="dxa"/>
            <w:shd w:val="clear" w:color="auto" w:fill="00A08D"/>
          </w:tcPr>
          <w:p w:rsidR="00ED3AAE" w:rsidRPr="00234273" w:rsidRDefault="00ED3AAE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Salary</w:t>
            </w:r>
          </w:p>
        </w:tc>
        <w:tc>
          <w:tcPr>
            <w:tcW w:w="7796" w:type="dxa"/>
          </w:tcPr>
          <w:p w:rsidR="00ED3AAE" w:rsidRPr="00234273" w:rsidRDefault="005673F2" w:rsidP="00F86A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£28,226 - £31,89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>5 per annum plus pension</w:t>
            </w:r>
          </w:p>
        </w:tc>
      </w:tr>
      <w:tr w:rsidR="00496D7C" w:rsidRPr="00234273" w:rsidTr="00F86AF8">
        <w:tc>
          <w:tcPr>
            <w:tcW w:w="2547" w:type="dxa"/>
            <w:shd w:val="clear" w:color="auto" w:fill="00A08D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Type / Duration:</w:t>
            </w:r>
          </w:p>
        </w:tc>
        <w:tc>
          <w:tcPr>
            <w:tcW w:w="7796" w:type="dxa"/>
          </w:tcPr>
          <w:p w:rsidR="00496D7C" w:rsidRPr="00234273" w:rsidRDefault="00626078" w:rsidP="00F86A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Fixed term – one year with likely extension</w:t>
            </w:r>
          </w:p>
        </w:tc>
      </w:tr>
      <w:tr w:rsidR="00496D7C" w:rsidRPr="00234273" w:rsidTr="00F86AF8">
        <w:tc>
          <w:tcPr>
            <w:tcW w:w="2547" w:type="dxa"/>
            <w:shd w:val="clear" w:color="auto" w:fill="00A08D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Special Circumstances:</w:t>
            </w:r>
          </w:p>
        </w:tc>
        <w:tc>
          <w:tcPr>
            <w:tcW w:w="7796" w:type="dxa"/>
          </w:tcPr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ind w:left="312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34273">
              <w:rPr>
                <w:rFonts w:asciiTheme="majorHAnsi" w:hAnsiTheme="majorHAnsi" w:cstheme="majorHAnsi"/>
                <w:sz w:val="22"/>
                <w:szCs w:val="22"/>
              </w:rPr>
              <w:t>Ability t</w:t>
            </w:r>
            <w:r w:rsidRPr="00234273">
              <w:rPr>
                <w:rFonts w:asciiTheme="majorHAnsi" w:hAnsiTheme="majorHAnsi" w:cs="Calibri"/>
                <w:sz w:val="22"/>
                <w:szCs w:val="22"/>
              </w:rPr>
              <w:t>o be flexible and adaptable - a</w:t>
            </w:r>
            <w:r w:rsidRPr="00234273">
              <w:rPr>
                <w:rFonts w:asciiTheme="majorHAnsi" w:hAnsiTheme="majorHAnsi" w:cs="Calibri"/>
                <w:color w:val="000000"/>
                <w:sz w:val="22"/>
                <w:szCs w:val="22"/>
              </w:rPr>
              <w:t>dditional hours may be necessary to meet the demands of the post</w:t>
            </w:r>
            <w:r w:rsidRPr="00234273">
              <w:rPr>
                <w:rFonts w:asciiTheme="majorHAnsi" w:hAnsiTheme="majorHAnsi" w:cs="Calibri"/>
                <w:sz w:val="22"/>
                <w:szCs w:val="22"/>
              </w:rPr>
              <w:t xml:space="preserve"> (including on occasion evenings and weekends) as appropriate and/or travel within the UK (or ROI as required).</w:t>
            </w:r>
          </w:p>
        </w:tc>
      </w:tr>
    </w:tbl>
    <w:p w:rsidR="00496D7C" w:rsidRPr="00234273" w:rsidRDefault="00496D7C" w:rsidP="00496D7C">
      <w:pPr>
        <w:rPr>
          <w:rFonts w:asciiTheme="majorHAnsi" w:hAnsiTheme="majorHAnsi" w:cstheme="maj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96D7C" w:rsidRPr="00234273" w:rsidTr="00F86AF8">
        <w:tc>
          <w:tcPr>
            <w:tcW w:w="10343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642F6A"/>
              </w:rPr>
            </w:pPr>
            <w:r w:rsidRPr="00234273">
              <w:rPr>
                <w:rFonts w:asciiTheme="majorHAnsi" w:hAnsiTheme="majorHAnsi" w:cstheme="majorHAnsi"/>
                <w:b/>
                <w:color w:val="642F6A"/>
              </w:rPr>
              <w:t>Job Purpose</w:t>
            </w:r>
          </w:p>
          <w:p w:rsidR="00496D7C" w:rsidRPr="00234273" w:rsidRDefault="00496D7C" w:rsidP="001865F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 both proact</w:t>
            </w:r>
            <w:r w:rsidR="00C67606">
              <w:rPr>
                <w:rFonts w:asciiTheme="majorHAnsi" w:hAnsiTheme="majorHAnsi" w:cstheme="majorHAnsi"/>
                <w:sz w:val="22"/>
                <w:szCs w:val="22"/>
              </w:rPr>
              <w:t xml:space="preserve">ive and responsive in </w:t>
            </w:r>
            <w:r w:rsidR="00C67606" w:rsidRPr="001865FF">
              <w:rPr>
                <w:rFonts w:asciiTheme="majorHAnsi" w:hAnsiTheme="majorHAnsi" w:cstheme="majorHAnsi"/>
                <w:sz w:val="22"/>
                <w:szCs w:val="22"/>
              </w:rPr>
              <w:t>providing</w:t>
            </w:r>
            <w:r w:rsidR="00C67606" w:rsidRPr="001865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free, high quality, expert and accessible EUSS immigration advice. Provide complex immigration advice and </w:t>
            </w:r>
            <w:r w:rsidRPr="001865FF">
              <w:rPr>
                <w:rFonts w:asciiTheme="majorHAnsi" w:hAnsiTheme="majorHAnsi" w:cstheme="majorHAnsi"/>
                <w:sz w:val="22"/>
                <w:szCs w:val="22"/>
              </w:rPr>
              <w:t>support, expertise and guidance to</w:t>
            </w:r>
            <w:r w:rsidR="00C67606" w:rsidRPr="001865FF">
              <w:rPr>
                <w:rFonts w:asciiTheme="majorHAnsi" w:hAnsiTheme="majorHAnsi" w:cstheme="majorHAnsi"/>
                <w:sz w:val="22"/>
                <w:szCs w:val="22"/>
              </w:rPr>
              <w:t xml:space="preserve"> the public, advisers and other agencies </w:t>
            </w:r>
            <w:r w:rsidRPr="001865FF">
              <w:rPr>
                <w:rFonts w:asciiTheme="majorHAnsi" w:hAnsiTheme="majorHAnsi" w:cstheme="majorHAnsi"/>
                <w:sz w:val="22"/>
                <w:szCs w:val="22"/>
              </w:rPr>
              <w:t xml:space="preserve">on complex </w:t>
            </w:r>
            <w:r w:rsidR="00887D92" w:rsidRPr="001865FF">
              <w:rPr>
                <w:rFonts w:asciiTheme="majorHAnsi" w:hAnsiTheme="majorHAnsi" w:cstheme="majorHAnsi"/>
                <w:sz w:val="22"/>
                <w:szCs w:val="22"/>
              </w:rPr>
              <w:t>EUSS/</w:t>
            </w:r>
            <w:r w:rsidRPr="001865FF">
              <w:rPr>
                <w:rFonts w:asciiTheme="majorHAnsi" w:hAnsiTheme="majorHAnsi" w:cstheme="majorHAnsi"/>
                <w:sz w:val="22"/>
                <w:szCs w:val="22"/>
              </w:rPr>
              <w:t>immigration related queries.</w:t>
            </w:r>
          </w:p>
        </w:tc>
      </w:tr>
    </w:tbl>
    <w:p w:rsidR="00496D7C" w:rsidRDefault="00496D7C" w:rsidP="00496D7C">
      <w:pPr>
        <w:jc w:val="both"/>
        <w:rPr>
          <w:rFonts w:asciiTheme="majorHAnsi" w:hAnsiTheme="majorHAnsi" w:cstheme="majorHAnsi"/>
        </w:rPr>
      </w:pPr>
    </w:p>
    <w:p w:rsidR="00496D7C" w:rsidRPr="003232B2" w:rsidRDefault="00496D7C" w:rsidP="00496D7C">
      <w:pPr>
        <w:jc w:val="both"/>
        <w:rPr>
          <w:rFonts w:asciiTheme="majorHAnsi" w:hAnsiTheme="majorHAnsi" w:cstheme="majorHAnsi"/>
          <w:b/>
        </w:rPr>
      </w:pPr>
      <w:r w:rsidRPr="003232B2">
        <w:rPr>
          <w:rFonts w:asciiTheme="majorHAnsi" w:hAnsiTheme="majorHAnsi" w:cstheme="majorHAnsi"/>
          <w:b/>
        </w:rPr>
        <w:t xml:space="preserve">Key Responsibilities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Strategy and Direction </w:t>
            </w:r>
          </w:p>
        </w:tc>
        <w:tc>
          <w:tcPr>
            <w:tcW w:w="8363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b/>
                <w:sz w:val="22"/>
              </w:rPr>
              <w:t>Assist in the delivery of the operational implementation of the strategic plan in line with agreed outcomes</w:t>
            </w:r>
            <w:r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Contribute (as appropriate) to the development of the strategic plan and support the implementation of the operational plan.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Provide subject matter expertise, information and/or advice for areas under remit to enable effective decision making.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Represent the Organisation </w:t>
            </w:r>
          </w:p>
        </w:tc>
        <w:tc>
          <w:tcPr>
            <w:tcW w:w="8363" w:type="dxa"/>
          </w:tcPr>
          <w:p w:rsidR="00496D7C" w:rsidRPr="006D207E" w:rsidRDefault="00496D7C" w:rsidP="00F86AF8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207E">
              <w:rPr>
                <w:rFonts w:asciiTheme="majorHAnsi" w:hAnsiTheme="majorHAnsi" w:cstheme="majorHAnsi"/>
                <w:b/>
                <w:bCs/>
                <w:sz w:val="22"/>
              </w:rPr>
              <w:t>Represent the organisation.</w:t>
            </w:r>
          </w:p>
          <w:p w:rsidR="00496D7C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 xml:space="preserve">Act as an ambassador and professionally represent the organisation at appropriate external national and local forums (our members, </w:t>
            </w:r>
            <w:proofErr w:type="gramStart"/>
            <w:r w:rsidRPr="00234273">
              <w:rPr>
                <w:rFonts w:asciiTheme="majorHAnsi" w:hAnsiTheme="majorHAnsi" w:cstheme="majorHAnsi"/>
                <w:sz w:val="22"/>
              </w:rPr>
              <w:t>governments</w:t>
            </w:r>
            <w:proofErr w:type="gramEnd"/>
            <w:r w:rsidRPr="00234273">
              <w:rPr>
                <w:rFonts w:asciiTheme="majorHAnsi" w:hAnsiTheme="majorHAnsi" w:cstheme="majorHAnsi"/>
                <w:sz w:val="22"/>
              </w:rPr>
              <w:t xml:space="preserve"> departments/funders </w:t>
            </w:r>
            <w:proofErr w:type="spellStart"/>
            <w:r w:rsidRPr="00234273">
              <w:rPr>
                <w:rFonts w:asciiTheme="majorHAnsi" w:hAnsiTheme="majorHAnsi" w:cstheme="majorHAnsi"/>
                <w:sz w:val="22"/>
              </w:rPr>
              <w:t>etc</w:t>
            </w:r>
            <w:proofErr w:type="spellEnd"/>
            <w:r w:rsidRPr="00234273">
              <w:rPr>
                <w:rFonts w:asciiTheme="majorHAnsi" w:hAnsiTheme="majorHAnsi" w:cstheme="majorHAnsi"/>
                <w:sz w:val="22"/>
              </w:rPr>
              <w:t>) and co-operate with other relevant agencies as may be required.</w:t>
            </w:r>
          </w:p>
          <w:p w:rsidR="00496D7C" w:rsidRPr="00274256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274256">
              <w:rPr>
                <w:rFonts w:asciiTheme="majorHAnsi" w:hAnsiTheme="majorHAnsi" w:cstheme="majorHAnsi"/>
                <w:sz w:val="22"/>
                <w:szCs w:val="22"/>
              </w:rPr>
              <w:t>espond to relevant consultations including attending consultation meetings.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Provide Leadership </w:t>
            </w:r>
          </w:p>
        </w:tc>
        <w:tc>
          <w:tcPr>
            <w:tcW w:w="8363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b/>
                <w:sz w:val="22"/>
              </w:rPr>
              <w:t>Provide personal leadership, engaging, supporting and motivating the team to achieve success</w:t>
            </w:r>
            <w:r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Personally, help to ensure a culture that demonstrates the values and adopting a professional approach at all times.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Be accountable for your own performance in line with a high-performance culture and participate effectively in performance and development reviews.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 xml:space="preserve">Take personal responsibility for communicating, working as a team and engaging and supporting colleagues including through times of change.  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  <w:szCs w:val="22"/>
              </w:rPr>
              <w:t>Take personal responsibility to build strong and productive working relationships with internal and external stakeholders to promote the organisation.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ED3AAE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D3AAE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Specialist Support</w:t>
            </w:r>
          </w:p>
        </w:tc>
        <w:tc>
          <w:tcPr>
            <w:tcW w:w="8363" w:type="dxa"/>
          </w:tcPr>
          <w:p w:rsidR="00496D7C" w:rsidRPr="00ED3AAE" w:rsidRDefault="00496D7C" w:rsidP="00F86A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3A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Personally, contribute to the effective and efficient specialist advisory support in line with agreed outcomes. </w:t>
            </w:r>
          </w:p>
          <w:p w:rsidR="00496D7C" w:rsidRPr="00ED3AAE" w:rsidRDefault="00496D7C" w:rsidP="00F86A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C6F71" w:rsidRDefault="00496D7C" w:rsidP="002C6F71">
            <w:pPr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Promote the services and provide </w:t>
            </w:r>
            <w:r w:rsidR="002C6F71" w:rsidRPr="00ED3AAE">
              <w:rPr>
                <w:rFonts w:ascii="Calibri Light" w:hAnsi="Calibri Light" w:cs="Calibri Light"/>
                <w:sz w:val="22"/>
                <w:szCs w:val="22"/>
              </w:rPr>
              <w:t>free and high-quality legal advice to EEA nationals and their families, and assist them to make applications under the EU Settlement Scheme</w:t>
            </w:r>
          </w:p>
          <w:p w:rsidR="001865FF" w:rsidRPr="00ED3AAE" w:rsidRDefault="001865FF" w:rsidP="002C6F71">
            <w:pPr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Manage your own caseload, accept and make referrals prioritising most vulnerable </w:t>
            </w:r>
          </w:p>
          <w:p w:rsidR="00496D7C" w:rsidRDefault="002C6F71" w:rsidP="002C6F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Provide consultancy and practical support to advisers on  complex client immigration/EUSS cases by offering tactical advice, legal research, interpreting law and obtain case law including assisting in the drafting letters, statements or arguments for them to use during negotiations. </w:t>
            </w:r>
          </w:p>
          <w:p w:rsidR="00C67606" w:rsidRPr="001865FF" w:rsidRDefault="00C67606" w:rsidP="002C6F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1865FF">
              <w:rPr>
                <w:rFonts w:ascii="Calibri Light" w:hAnsi="Calibri Light" w:cs="Calibri Light"/>
                <w:sz w:val="22"/>
                <w:szCs w:val="22"/>
                <w:lang w:val="en-US"/>
              </w:rPr>
              <w:t>Challenge refusals under the EU Settlement Scheme where there are grounds to do so e.g. requesting administrative reviews and appeals; Seek solutions where EU citizens have problems proving their immigration status online, and/or problems accessing rights e.g. to benefits, housing, healthcare and travel in and out of the UK.</w:t>
            </w:r>
          </w:p>
          <w:p w:rsidR="002C6F71" w:rsidRPr="001865FF" w:rsidRDefault="002C6F71" w:rsidP="002C6F71">
            <w:pPr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1865FF">
              <w:rPr>
                <w:rFonts w:ascii="Calibri Light" w:hAnsi="Calibri Light" w:cs="Calibri Light"/>
                <w:sz w:val="22"/>
                <w:szCs w:val="22"/>
              </w:rPr>
              <w:t xml:space="preserve">To assist Advice NI/members clients with appeals and judicial review action </w:t>
            </w:r>
          </w:p>
          <w:p w:rsidR="002C6F71" w:rsidRPr="001865FF" w:rsidRDefault="002C6F71" w:rsidP="002C6F71">
            <w:pPr>
              <w:numPr>
                <w:ilvl w:val="0"/>
                <w:numId w:val="4"/>
              </w:num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865FF">
              <w:rPr>
                <w:rFonts w:ascii="Calibri Light" w:hAnsi="Calibri Light" w:cs="Calibri Light"/>
                <w:sz w:val="22"/>
                <w:szCs w:val="22"/>
              </w:rPr>
              <w:t>Quality assure the work of EUSS advisers within Advice NI</w:t>
            </w:r>
            <w:r w:rsidR="00C67606" w:rsidRPr="001865F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C67606" w:rsidRPr="001865FF">
              <w:rPr>
                <w:rFonts w:ascii="Calibri Light" w:hAnsi="Calibri Light" w:cs="Calibri Light"/>
                <w:sz w:val="22"/>
                <w:szCs w:val="22"/>
                <w:lang w:val="en-US"/>
              </w:rPr>
              <w:t>ensure compliance with all professional standards of the OISC and/or Law Society of Northern Ireland</w:t>
            </w:r>
          </w:p>
          <w:p w:rsidR="002C6F71" w:rsidRPr="00ED3AAE" w:rsidRDefault="002C6F71" w:rsidP="002C6F71">
            <w:pPr>
              <w:numPr>
                <w:ilvl w:val="0"/>
                <w:numId w:val="4"/>
              </w:num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Contribute to supporting members to meet OISC requirements  </w:t>
            </w:r>
          </w:p>
          <w:p w:rsidR="00496D7C" w:rsidRPr="00ED3AAE" w:rsidRDefault="00496D7C" w:rsidP="002C6F71">
            <w:pPr>
              <w:numPr>
                <w:ilvl w:val="0"/>
                <w:numId w:val="4"/>
              </w:num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>Co-ordinate and facilitate ‘Ask the Expert’ Information Sessions with key individuals/organisations involved in employment advice; interviewing and recording podcasts and vlogs with presenters (subject to speaker permission) and other key contacts for uploading to Advice NI website as appropriate.</w:t>
            </w:r>
          </w:p>
          <w:p w:rsidR="00496D7C" w:rsidRPr="00ED3AAE" w:rsidRDefault="00496D7C" w:rsidP="002C6F71">
            <w:pPr>
              <w:numPr>
                <w:ilvl w:val="0"/>
                <w:numId w:val="4"/>
              </w:num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Contribute to the development, assurance, delivery of </w:t>
            </w:r>
            <w:r w:rsidR="002C6F71" w:rsidRPr="00ED3AAE">
              <w:rPr>
                <w:rFonts w:ascii="Calibri Light" w:hAnsi="Calibri Light" w:cs="Calibri Light"/>
                <w:sz w:val="22"/>
                <w:szCs w:val="22"/>
              </w:rPr>
              <w:t xml:space="preserve"> relevant </w:t>
            </w:r>
            <w:r w:rsidRPr="00ED3AAE">
              <w:rPr>
                <w:rFonts w:ascii="Calibri Light" w:hAnsi="Calibri Light" w:cs="Calibri Light"/>
                <w:sz w:val="22"/>
                <w:szCs w:val="22"/>
              </w:rPr>
              <w:t>training</w:t>
            </w:r>
          </w:p>
          <w:p w:rsidR="00496D7C" w:rsidRPr="00ED3AAE" w:rsidRDefault="00496D7C" w:rsidP="002C6F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Encourage exchange of information and best practices including </w:t>
            </w:r>
            <w:r w:rsidR="002C6F71" w:rsidRPr="00ED3AAE">
              <w:rPr>
                <w:rFonts w:ascii="Calibri Light" w:hAnsi="Calibri Light" w:cs="Calibri Light"/>
                <w:sz w:val="22"/>
                <w:szCs w:val="22"/>
              </w:rPr>
              <w:t xml:space="preserve">contributing to </w:t>
            </w:r>
            <w:r w:rsidRPr="00ED3AAE">
              <w:rPr>
                <w:rFonts w:ascii="Calibri Light" w:hAnsi="Calibri Light" w:cs="Calibri Light"/>
                <w:sz w:val="22"/>
                <w:szCs w:val="22"/>
              </w:rPr>
              <w:t xml:space="preserve"> blogs / policy updates / Newssheet / articles for website on current issues, changes in legislation, reports on any other relevant information for the Advice NI website.</w:t>
            </w:r>
          </w:p>
          <w:p w:rsidR="00496D7C" w:rsidRPr="00ED3AAE" w:rsidRDefault="00496D7C" w:rsidP="002C6F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AAE">
              <w:rPr>
                <w:rFonts w:ascii="Calibri Light" w:hAnsi="Calibri Light" w:cs="Calibri Light"/>
                <w:sz w:val="22"/>
                <w:szCs w:val="22"/>
              </w:rPr>
              <w:t>Provide support to supervisors/managers and facilitate information sessions on undertaking supervisory quality case reviews.</w:t>
            </w:r>
            <w:r w:rsidRPr="00ED3AA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Budgets and Financial Control and reporting</w:t>
            </w:r>
          </w:p>
        </w:tc>
        <w:tc>
          <w:tcPr>
            <w:tcW w:w="8363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b/>
                <w:sz w:val="22"/>
              </w:rPr>
              <w:t>Support in the management of resources effectively and efficiently</w:t>
            </w:r>
            <w:r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Provide assistance when required in supporting the identification, preparation and submission of applications to secure appropriate sources of funding to meet the current and long-term sustainability needs of the organisation.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Adhere to procurement policies and processes.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Monitor and control activities against budget as may be allocated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Produce regular </w:t>
            </w:r>
            <w:r w:rsidRPr="00234273">
              <w:rPr>
                <w:rFonts w:asciiTheme="majorHAnsi" w:hAnsiTheme="majorHAnsi" w:cstheme="majorHAnsi"/>
                <w:sz w:val="22"/>
              </w:rPr>
              <w:t>progress reports and other statistical data regarding the function’s performance against agreed plans and internal targets, Contracts and SLA’s funder requirements</w:t>
            </w:r>
            <w:r>
              <w:rPr>
                <w:rFonts w:asciiTheme="majorHAnsi" w:hAnsiTheme="majorHAnsi" w:cstheme="majorHAnsi"/>
                <w:sz w:val="22"/>
              </w:rPr>
              <w:t xml:space="preserve"> including financial / non-financial outcomes</w:t>
            </w:r>
            <w:r w:rsidRPr="00234273">
              <w:rPr>
                <w:rFonts w:asciiTheme="majorHAnsi" w:hAnsiTheme="majorHAnsi" w:cstheme="majorHAnsi"/>
                <w:sz w:val="22"/>
              </w:rPr>
              <w:t>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Taking personal responsibility in the effective and efficient utilisation of the organisation’s resources (human, physical and financial) where possible.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Quality and Compliance</w:t>
            </w:r>
          </w:p>
        </w:tc>
        <w:tc>
          <w:tcPr>
            <w:tcW w:w="8363" w:type="dx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34273">
              <w:rPr>
                <w:rFonts w:asciiTheme="majorHAnsi" w:hAnsiTheme="majorHAnsi" w:cstheme="majorHAnsi"/>
                <w:b/>
                <w:sz w:val="22"/>
              </w:rPr>
              <w:t>Assist in ensuring quality standards and compliance in line with legislation and regulations.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Take personal responsibility to adhere to all organisational</w:t>
            </w:r>
            <w:r w:rsidRPr="00234273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Pr="0023427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policies and procedures including Equal Opportunities</w:t>
            </w:r>
            <w:r w:rsidRPr="00234273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Pr="0023427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 discharges its legal obligations </w:t>
            </w:r>
            <w:r w:rsidRPr="00234273">
              <w:rPr>
                <w:rFonts w:asciiTheme="majorHAnsi" w:hAnsiTheme="majorHAnsi" w:cstheme="majorHAnsi"/>
                <w:sz w:val="22"/>
              </w:rPr>
              <w:t>and management of risk</w:t>
            </w:r>
            <w:r w:rsidRPr="0023427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 the areas under your remit.</w:t>
            </w:r>
          </w:p>
          <w:p w:rsidR="00496D7C" w:rsidRPr="00274256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Undertake</w:t>
            </w:r>
            <w:r w:rsidRPr="0023427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4273">
              <w:rPr>
                <w:rFonts w:asciiTheme="majorHAnsi" w:hAnsiTheme="majorHAnsi" w:cstheme="majorHAnsi"/>
                <w:sz w:val="22"/>
              </w:rPr>
              <w:t xml:space="preserve">regular quality and other internal verification processes to ensure compliance to and maintenance of relevant quality standards and to promote the brand </w:t>
            </w:r>
            <w:r w:rsidRPr="00234273">
              <w:rPr>
                <w:rFonts w:asciiTheme="majorHAnsi" w:hAnsiTheme="majorHAnsi" w:cstheme="majorHAnsi"/>
                <w:sz w:val="22"/>
              </w:rPr>
              <w:lastRenderedPageBreak/>
              <w:t>and reputation of the organisation</w:t>
            </w:r>
            <w:r w:rsidRPr="00274256">
              <w:rPr>
                <w:rFonts w:asciiTheme="majorHAnsi" w:hAnsiTheme="majorHAnsi" w:cstheme="majorHAnsi"/>
                <w:sz w:val="22"/>
                <w:szCs w:val="22"/>
              </w:rPr>
              <w:t xml:space="preserve"> including policy reports, training materials, cases, leaflet and any other such materials.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Personally, review own work to ensure appropriate quality and compliance standards are met.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Help assist in dealing with complaints and issues effectively to ensure their resolution and/or escalate as appropriate.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Keep abreast of policy developments and/or other issues which have the potential to influence or impact the organisation.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Personally, adherence to confidentiality, security and GDPR including access to records and other legal obligations.</w:t>
            </w:r>
          </w:p>
          <w:p w:rsidR="00496D7C" w:rsidRPr="00274256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Personally, support efforts to drive a continuous service improvement culture in line with efficiency and effectiveness and best practice approaches across the organisation.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Health and Safety</w:t>
            </w:r>
          </w:p>
        </w:tc>
        <w:tc>
          <w:tcPr>
            <w:tcW w:w="8363" w:type="dxa"/>
          </w:tcPr>
          <w:p w:rsidR="00496D7C" w:rsidRDefault="00496D7C" w:rsidP="00F86AF8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Wellbeing, Health and Safety.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Take personal responsibility for your own wellbeing and help provide support to others, escalating any issues as appropriate.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 w:rsidRPr="00234273">
              <w:rPr>
                <w:rFonts w:asciiTheme="majorHAnsi" w:hAnsiTheme="majorHAnsi" w:cstheme="majorHAnsi"/>
                <w:sz w:val="22"/>
              </w:rPr>
              <w:t>Personally, adhere to the Health and Safety Regulations, ensuring any issues are resolved and/or brought immediately to the attention of management</w:t>
            </w:r>
          </w:p>
        </w:tc>
      </w:tr>
      <w:tr w:rsidR="00496D7C" w:rsidRPr="00234273" w:rsidTr="00F86AF8">
        <w:tc>
          <w:tcPr>
            <w:tcW w:w="1980" w:type="dxa"/>
            <w:shd w:val="clear" w:color="auto" w:fill="642F6A"/>
          </w:tcPr>
          <w:p w:rsidR="00496D7C" w:rsidRPr="00234273" w:rsidRDefault="00496D7C" w:rsidP="00F86AF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4273">
              <w:rPr>
                <w:rFonts w:asciiTheme="majorHAnsi" w:hAnsiTheme="majorHAnsi" w:cstheme="majorHAnsi"/>
                <w:b/>
                <w:color w:val="FFFFFF" w:themeColor="background1"/>
              </w:rPr>
              <w:t>Other</w:t>
            </w:r>
          </w:p>
        </w:tc>
        <w:tc>
          <w:tcPr>
            <w:tcW w:w="8363" w:type="dxa"/>
          </w:tcPr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This </w:t>
            </w:r>
            <w:r>
              <w:rPr>
                <w:rFonts w:asciiTheme="majorHAnsi" w:hAnsiTheme="majorHAnsi"/>
                <w:sz w:val="22"/>
                <w:szCs w:val="22"/>
              </w:rPr>
              <w:t>post holder is expected to be flexible and undertake other duties within reason and competence as may be required due to changing priorities or circumstances.</w:t>
            </w:r>
          </w:p>
          <w:p w:rsidR="00496D7C" w:rsidRPr="00234273" w:rsidRDefault="00496D7C" w:rsidP="00F86A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</w:rPr>
              <w:t xml:space="preserve">This job </w:t>
            </w:r>
            <w:r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2"/>
                <w:szCs w:val="22"/>
              </w:rPr>
              <w:t>description may be subject to change in line with the changing needs and demands of the organisation.</w:t>
            </w:r>
          </w:p>
        </w:tc>
      </w:tr>
    </w:tbl>
    <w:p w:rsidR="00496D7C" w:rsidRDefault="00496D7C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Default="00FF3E7F" w:rsidP="00496D7C">
      <w:pPr>
        <w:rPr>
          <w:rFonts w:asciiTheme="majorHAnsi" w:hAnsiTheme="majorHAnsi" w:cstheme="majorHAnsi"/>
        </w:rPr>
      </w:pPr>
    </w:p>
    <w:p w:rsidR="00FF3E7F" w:rsidRPr="00234273" w:rsidRDefault="00FF3E7F" w:rsidP="00496D7C">
      <w:pPr>
        <w:rPr>
          <w:rFonts w:asciiTheme="majorHAnsi" w:hAnsiTheme="majorHAnsi" w:cstheme="majorHAnsi"/>
        </w:rPr>
      </w:pPr>
    </w:p>
    <w:p w:rsidR="00496D7C" w:rsidRDefault="00496D7C" w:rsidP="00887D92">
      <w:pPr>
        <w:tabs>
          <w:tab w:val="left" w:pos="5103"/>
        </w:tabs>
        <w:ind w:right="559"/>
        <w:rPr>
          <w:rFonts w:ascii="Arial" w:hAnsi="Arial" w:cs="Arial"/>
          <w:sz w:val="21"/>
          <w:szCs w:val="21"/>
        </w:rPr>
      </w:pPr>
    </w:p>
    <w:p w:rsidR="00FF3E7F" w:rsidRPr="00DD7D78" w:rsidRDefault="00FF3E7F" w:rsidP="00FF3E7F">
      <w:pPr>
        <w:keepNext/>
        <w:spacing w:after="0" w:line="240" w:lineRule="auto"/>
        <w:ind w:left="216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D7D78">
        <w:rPr>
          <w:rFonts w:ascii="Arial" w:eastAsia="Times New Roman" w:hAnsi="Arial" w:cs="Arial"/>
          <w:bCs/>
          <w:sz w:val="24"/>
          <w:szCs w:val="24"/>
        </w:rPr>
        <w:lastRenderedPageBreak/>
        <w:t>JOB SPECIFICATIOIN</w:t>
      </w:r>
    </w:p>
    <w:p w:rsidR="00FF3E7F" w:rsidRPr="00DD7D78" w:rsidRDefault="00FF3E7F" w:rsidP="00FF3E7F">
      <w:pPr>
        <w:keepNext/>
        <w:spacing w:after="0" w:line="240" w:lineRule="auto"/>
        <w:ind w:left="216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FF3E7F" w:rsidRPr="00B40EFC" w:rsidRDefault="00FF3E7F" w:rsidP="00FF3E7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Specialist Support Practitioner - Immigration Law</w:t>
      </w:r>
    </w:p>
    <w:p w:rsidR="00FF3E7F" w:rsidRPr="00DD7D78" w:rsidRDefault="00FF3E7F" w:rsidP="00FF3E7F">
      <w:pPr>
        <w:keepNext/>
        <w:spacing w:after="0" w:line="240" w:lineRule="auto"/>
        <w:ind w:left="2160" w:firstLine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F3E7F" w:rsidRPr="00DD7D78" w:rsidRDefault="00FF3E7F" w:rsidP="00FF3E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5335"/>
        <w:gridCol w:w="3121"/>
      </w:tblGrid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spacing w:before="120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23" w:type="dxa"/>
          </w:tcPr>
          <w:p w:rsidR="00FF3E7F" w:rsidRPr="00DD7D78" w:rsidRDefault="00FF3E7F" w:rsidP="0074769C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D7D7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3145" w:type="dxa"/>
          </w:tcPr>
          <w:p w:rsidR="00FF3E7F" w:rsidRPr="00DD7D78" w:rsidRDefault="00FF3E7F" w:rsidP="0074769C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D7D7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Desirable</w:t>
            </w:r>
          </w:p>
        </w:tc>
      </w:tr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5423" w:type="dxa"/>
          </w:tcPr>
          <w:p w:rsidR="00FF3E7F" w:rsidRPr="00DD7D78" w:rsidRDefault="001865F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Institute/Bar qualifications, OISC Level 2</w:t>
            </w:r>
          </w:p>
        </w:tc>
        <w:tc>
          <w:tcPr>
            <w:tcW w:w="3145" w:type="dxa"/>
          </w:tcPr>
          <w:p w:rsidR="00FF3E7F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>OISC level 3</w:t>
            </w:r>
          </w:p>
          <w:p w:rsidR="00626078" w:rsidRPr="00DD7D78" w:rsidRDefault="00626078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bi-lingual</w:t>
            </w:r>
          </w:p>
        </w:tc>
      </w:tr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5423" w:type="dxa"/>
          </w:tcPr>
          <w:p w:rsidR="00FF3E7F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 xml:space="preserve">Have at least 1 years’ experience of immigration casework, including the making of applications under the EU settlement scheme </w:t>
            </w:r>
          </w:p>
          <w:p w:rsidR="001865FF" w:rsidRDefault="001865F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865FF" w:rsidRPr="00DD7D78" w:rsidRDefault="001865F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solicitor/barrister eligible to practice in NI by date of appointment</w:t>
            </w: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 xml:space="preserve">Have in-depth experience of working with clients with complex needs 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 xml:space="preserve">Have experience of developing and maintaining relationships with partner/member </w:t>
            </w:r>
            <w:proofErr w:type="spellStart"/>
            <w:r w:rsidRPr="00DD7D78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 xml:space="preserve">Have experience of appeals and judicial review </w:t>
            </w:r>
          </w:p>
          <w:p w:rsidR="00FF3E7F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65FF" w:rsidRPr="00DD7D78" w:rsidRDefault="001865F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of the legal aid system </w:t>
            </w:r>
          </w:p>
        </w:tc>
      </w:tr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5423" w:type="dxa"/>
          </w:tcPr>
          <w:p w:rsidR="00FF3E7F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>Be adept at managing your own complex caseload</w:t>
            </w:r>
            <w:r w:rsidR="001865FF">
              <w:rPr>
                <w:rFonts w:ascii="Arial" w:hAnsi="Arial" w:cs="Arial"/>
                <w:sz w:val="24"/>
                <w:szCs w:val="24"/>
              </w:rPr>
              <w:t xml:space="preserve"> and administration </w:t>
            </w: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3E7F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>Have excellent organizational, written and verbal communication skills</w:t>
            </w: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Office Skills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FF3E7F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 xml:space="preserve">Be able to research and write comprehensive resources and reports </w:t>
            </w:r>
          </w:p>
          <w:p w:rsidR="00FF3E7F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3E7F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 xml:space="preserve">Be  self -motivated and adept at working in a team to achieve objectives and share knowledge/learning 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Knowledge/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Values</w:t>
            </w:r>
          </w:p>
        </w:tc>
        <w:tc>
          <w:tcPr>
            <w:tcW w:w="5423" w:type="dxa"/>
          </w:tcPr>
          <w:p w:rsidR="001865FF" w:rsidRDefault="001865F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Passionate about promoting/enabling access to justice </w:t>
            </w:r>
          </w:p>
          <w:p w:rsidR="001865FF" w:rsidRDefault="001865F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3E7F" w:rsidRPr="00DD7D78" w:rsidRDefault="00FF3E7F" w:rsidP="0074769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D7D78">
              <w:rPr>
                <w:rFonts w:ascii="Arial" w:hAnsi="Arial" w:cs="Arial"/>
                <w:sz w:val="24"/>
                <w:szCs w:val="24"/>
              </w:rPr>
              <w:t>Ability  to demonstrate an in-depth knowledge and understanding of European free movement law, Appen</w:t>
            </w:r>
            <w:r w:rsidR="00C67606">
              <w:rPr>
                <w:rFonts w:ascii="Arial" w:hAnsi="Arial" w:cs="Arial"/>
                <w:sz w:val="24"/>
                <w:szCs w:val="24"/>
              </w:rPr>
              <w:t>dix EU</w:t>
            </w:r>
            <w:r w:rsidR="00FB130D">
              <w:rPr>
                <w:rFonts w:ascii="Arial" w:hAnsi="Arial" w:cs="Arial"/>
                <w:sz w:val="24"/>
                <w:szCs w:val="24"/>
              </w:rPr>
              <w:t xml:space="preserve"> and other areas of immigration law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Sympathetic and </w:t>
            </w:r>
            <w:proofErr w:type="spellStart"/>
            <w:r w:rsidRPr="00DD7D78">
              <w:rPr>
                <w:rFonts w:ascii="Arial" w:eastAsia="Times New Roman" w:hAnsi="Arial" w:cs="Arial"/>
                <w:sz w:val="24"/>
                <w:szCs w:val="24"/>
              </w:rPr>
              <w:t>non-judgemental</w:t>
            </w:r>
            <w:proofErr w:type="spellEnd"/>
            <w:r w:rsidRPr="00DD7D78">
              <w:rPr>
                <w:rFonts w:ascii="Arial" w:eastAsia="Times New Roman" w:hAnsi="Arial" w:cs="Arial"/>
                <w:sz w:val="24"/>
                <w:szCs w:val="24"/>
              </w:rPr>
              <w:t xml:space="preserve"> attitude to a client’s problems.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D7D78">
              <w:rPr>
                <w:rFonts w:ascii="Arial" w:hAnsi="Arial" w:cs="Arial"/>
                <w:sz w:val="24"/>
                <w:szCs w:val="24"/>
              </w:rPr>
              <w:t xml:space="preserve">Be committed to Advice NI’s  charitable objectives 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Be committed to using the law to effect systemic change 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>Sound knowledge of the advice sector in Northern Ireland</w:t>
            </w:r>
          </w:p>
        </w:tc>
      </w:tr>
      <w:tr w:rsidR="00FF3E7F" w:rsidRPr="00DD7D78" w:rsidTr="0074769C">
        <w:tc>
          <w:tcPr>
            <w:tcW w:w="1451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Personal attributes</w:t>
            </w:r>
          </w:p>
        </w:tc>
        <w:tc>
          <w:tcPr>
            <w:tcW w:w="5423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>Flexible approach to working hours and willingness to travel as required by the post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D78">
              <w:rPr>
                <w:rFonts w:ascii="Arial" w:eastAsia="Times New Roman" w:hAnsi="Arial" w:cs="Arial"/>
                <w:sz w:val="24"/>
                <w:szCs w:val="24"/>
              </w:rPr>
              <w:t>Friendly and approachable manner.</w:t>
            </w:r>
          </w:p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3E7F" w:rsidRPr="00DD7D78" w:rsidTr="0074769C">
        <w:tc>
          <w:tcPr>
            <w:tcW w:w="1451" w:type="dxa"/>
          </w:tcPr>
          <w:p w:rsidR="00FF3E7F" w:rsidRPr="00E675F2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Other</w:t>
            </w:r>
          </w:p>
        </w:tc>
        <w:tc>
          <w:tcPr>
            <w:tcW w:w="5423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FF3E7F" w:rsidRPr="00DD7D78" w:rsidRDefault="00FF3E7F" w:rsidP="0074769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Current clean UK driving license/access to car</w:t>
            </w:r>
          </w:p>
        </w:tc>
      </w:tr>
    </w:tbl>
    <w:p w:rsidR="00FF3E7F" w:rsidRPr="00DD7D78" w:rsidRDefault="00FF3E7F" w:rsidP="00FF3E7F">
      <w:pPr>
        <w:rPr>
          <w:rFonts w:ascii="Arial" w:hAnsi="Arial" w:cs="Arial"/>
          <w:sz w:val="24"/>
          <w:szCs w:val="24"/>
        </w:rPr>
      </w:pPr>
    </w:p>
    <w:p w:rsidR="00496D7C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4"/>
          <w:szCs w:val="24"/>
        </w:rPr>
      </w:pPr>
    </w:p>
    <w:p w:rsidR="00496D7C" w:rsidRPr="003923C0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4"/>
          <w:szCs w:val="24"/>
        </w:rPr>
      </w:pPr>
    </w:p>
    <w:p w:rsidR="00496D7C" w:rsidRPr="002C6F71" w:rsidRDefault="00496D7C" w:rsidP="002C6F71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sz w:val="24"/>
          <w:szCs w:val="24"/>
        </w:rPr>
      </w:pPr>
    </w:p>
    <w:p w:rsidR="00496D7C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1"/>
          <w:szCs w:val="21"/>
        </w:rPr>
      </w:pPr>
    </w:p>
    <w:p w:rsidR="00496D7C" w:rsidRDefault="00496D7C" w:rsidP="00496D7C">
      <w:pPr>
        <w:tabs>
          <w:tab w:val="left" w:pos="5103"/>
        </w:tabs>
        <w:ind w:left="360" w:right="559"/>
        <w:rPr>
          <w:rFonts w:ascii="Arial" w:hAnsi="Arial" w:cs="Arial"/>
          <w:sz w:val="21"/>
          <w:szCs w:val="21"/>
        </w:rPr>
      </w:pPr>
    </w:p>
    <w:p w:rsidR="00496D7C" w:rsidRDefault="00496D7C" w:rsidP="00496D7C"/>
    <w:p w:rsidR="005D7812" w:rsidRDefault="005D7812"/>
    <w:sectPr w:rsidR="005D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C2E"/>
    <w:multiLevelType w:val="multilevel"/>
    <w:tmpl w:val="B074F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17F6DDE"/>
    <w:multiLevelType w:val="hybridMultilevel"/>
    <w:tmpl w:val="742C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481FC">
      <w:numFmt w:val="bullet"/>
      <w:lvlText w:val="-"/>
      <w:lvlJc w:val="left"/>
      <w:pPr>
        <w:ind w:left="1965" w:hanging="88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295"/>
    <w:multiLevelType w:val="multilevel"/>
    <w:tmpl w:val="6DF0F3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7A10C7"/>
    <w:multiLevelType w:val="hybridMultilevel"/>
    <w:tmpl w:val="9F6C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60EC0"/>
    <w:multiLevelType w:val="multilevel"/>
    <w:tmpl w:val="10B4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012C6"/>
    <w:multiLevelType w:val="hybridMultilevel"/>
    <w:tmpl w:val="BCBE3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01EB1"/>
    <w:multiLevelType w:val="hybridMultilevel"/>
    <w:tmpl w:val="64AC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A460E"/>
    <w:multiLevelType w:val="hybridMultilevel"/>
    <w:tmpl w:val="FEFA4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A572A"/>
    <w:multiLevelType w:val="multilevel"/>
    <w:tmpl w:val="80723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9355E"/>
    <w:multiLevelType w:val="multilevel"/>
    <w:tmpl w:val="0D944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A32B60"/>
    <w:multiLevelType w:val="hybridMultilevel"/>
    <w:tmpl w:val="5670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E11D9"/>
    <w:multiLevelType w:val="hybridMultilevel"/>
    <w:tmpl w:val="47D4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3DE"/>
    <w:multiLevelType w:val="multilevel"/>
    <w:tmpl w:val="B8F04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7C"/>
    <w:rsid w:val="001865FF"/>
    <w:rsid w:val="0019670D"/>
    <w:rsid w:val="002C3C72"/>
    <w:rsid w:val="002C6F71"/>
    <w:rsid w:val="00303CDE"/>
    <w:rsid w:val="00454918"/>
    <w:rsid w:val="00496D7C"/>
    <w:rsid w:val="00567154"/>
    <w:rsid w:val="005673F2"/>
    <w:rsid w:val="005D7812"/>
    <w:rsid w:val="006024A6"/>
    <w:rsid w:val="00626078"/>
    <w:rsid w:val="006F69E5"/>
    <w:rsid w:val="00887D92"/>
    <w:rsid w:val="00A5432F"/>
    <w:rsid w:val="00C67606"/>
    <w:rsid w:val="00E47412"/>
    <w:rsid w:val="00E52F07"/>
    <w:rsid w:val="00ED3AAE"/>
    <w:rsid w:val="00FB130D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344FF-90D8-4F3C-A71F-FC76EE6A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7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496D7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6D7C"/>
  </w:style>
  <w:style w:type="character" w:styleId="Hyperlink">
    <w:name w:val="Hyperlink"/>
    <w:basedOn w:val="DefaultParagraphFont"/>
    <w:uiPriority w:val="99"/>
    <w:unhideWhenUsed/>
    <w:rsid w:val="002C3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Magee</dc:creator>
  <cp:keywords/>
  <dc:description/>
  <cp:lastModifiedBy>Alasdair Sim</cp:lastModifiedBy>
  <cp:revision>2</cp:revision>
  <cp:lastPrinted>2023-05-11T12:25:00Z</cp:lastPrinted>
  <dcterms:created xsi:type="dcterms:W3CDTF">2023-05-12T13:56:00Z</dcterms:created>
  <dcterms:modified xsi:type="dcterms:W3CDTF">2023-05-12T13:56:00Z</dcterms:modified>
</cp:coreProperties>
</file>