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29" w:rsidRPr="00771029" w:rsidRDefault="00771029" w:rsidP="00771029">
      <w:pPr>
        <w:jc w:val="center"/>
        <w:rPr>
          <w:rFonts w:eastAsia="Times New Roman" w:cstheme="minorHAnsi"/>
          <w:b/>
          <w:sz w:val="32"/>
        </w:rPr>
      </w:pPr>
      <w:r w:rsidRPr="00771029">
        <w:rPr>
          <w:rFonts w:eastAsia="Times New Roman" w:cstheme="minorHAnsi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5B01FB89" wp14:editId="761BACDB">
            <wp:simplePos x="0" y="0"/>
            <wp:positionH relativeFrom="margin">
              <wp:posOffset>5414728</wp:posOffset>
            </wp:positionH>
            <wp:positionV relativeFrom="margin">
              <wp:posOffset>-3175</wp:posOffset>
            </wp:positionV>
            <wp:extent cx="906145" cy="386080"/>
            <wp:effectExtent l="0" t="0" r="0" b="0"/>
            <wp:wrapSquare wrapText="bothSides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sz w:val="32"/>
        </w:rPr>
        <w:t xml:space="preserve">               </w:t>
      </w:r>
      <w:r w:rsidRPr="00771029">
        <w:rPr>
          <w:rFonts w:eastAsia="Times New Roman" w:cstheme="minorHAnsi"/>
          <w:b/>
          <w:sz w:val="32"/>
        </w:rPr>
        <w:t xml:space="preserve">Job Description </w:t>
      </w:r>
      <w:r w:rsidRPr="00771029">
        <w:rPr>
          <w:rFonts w:eastAsia="Times New Roman" w:cstheme="minorHAnsi"/>
          <w:b/>
          <w:sz w:val="32"/>
        </w:rPr>
        <w:fldChar w:fldCharType="begin"/>
      </w:r>
      <w:r w:rsidR="009661E1">
        <w:rPr>
          <w:rFonts w:eastAsia="Times New Roman" w:cstheme="minorHAnsi"/>
          <w:b/>
          <w:sz w:val="32"/>
        </w:rPr>
        <w:instrText xml:space="preserve"> INCLUDEPICTURE "C:\\var\\folders\\23\\08krhn_11v7crmdh4x100s6r0000gn\\T\\com.microsoft.Word\\WebArchiveCopyPasteTempFiles\\logo.png" \* MERGEFORMAT </w:instrText>
      </w:r>
      <w:r w:rsidRPr="00771029">
        <w:rPr>
          <w:rFonts w:eastAsia="Times New Roman" w:cstheme="minorHAnsi"/>
          <w:b/>
          <w:sz w:val="32"/>
        </w:rPr>
        <w:fldChar w:fldCharType="end"/>
      </w:r>
    </w:p>
    <w:p w:rsidR="00771029" w:rsidRPr="00037028" w:rsidRDefault="00771029">
      <w:pPr>
        <w:rPr>
          <w:rFonts w:asciiTheme="majorHAnsi" w:hAnsiTheme="majorHAnsi" w:cstheme="maj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771029" w:rsidRPr="00037028" w:rsidTr="00DA4206">
        <w:tc>
          <w:tcPr>
            <w:tcW w:w="2547" w:type="dxa"/>
            <w:shd w:val="clear" w:color="auto" w:fill="00A08D"/>
          </w:tcPr>
          <w:p w:rsidR="00771029" w:rsidRPr="00037028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37028">
              <w:rPr>
                <w:rFonts w:asciiTheme="majorHAnsi" w:hAnsiTheme="majorHAnsi" w:cstheme="majorHAnsi"/>
                <w:b/>
                <w:color w:val="FFFFFF" w:themeColor="background1"/>
              </w:rPr>
              <w:t>Job Title:</w:t>
            </w:r>
          </w:p>
        </w:tc>
        <w:tc>
          <w:tcPr>
            <w:tcW w:w="7796" w:type="dxa"/>
          </w:tcPr>
          <w:p w:rsidR="00771029" w:rsidRPr="00985AED" w:rsidRDefault="009C51CC">
            <w:pPr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 xml:space="preserve">Quality </w:t>
            </w:r>
            <w:r w:rsidR="004A4F21">
              <w:rPr>
                <w:b/>
              </w:rPr>
              <w:t>Co-Ordinator</w:t>
            </w:r>
          </w:p>
        </w:tc>
      </w:tr>
      <w:tr w:rsidR="00771029" w:rsidRPr="00037028" w:rsidTr="00DA4206">
        <w:tc>
          <w:tcPr>
            <w:tcW w:w="2547" w:type="dxa"/>
            <w:shd w:val="clear" w:color="auto" w:fill="00A08D"/>
          </w:tcPr>
          <w:p w:rsidR="00771029" w:rsidRPr="00037028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37028">
              <w:rPr>
                <w:rFonts w:asciiTheme="majorHAnsi" w:hAnsiTheme="majorHAnsi" w:cstheme="majorHAnsi"/>
                <w:b/>
                <w:color w:val="FFFFFF" w:themeColor="background1"/>
              </w:rPr>
              <w:t>Reporting to:</w:t>
            </w:r>
          </w:p>
        </w:tc>
        <w:tc>
          <w:tcPr>
            <w:tcW w:w="7796" w:type="dxa"/>
          </w:tcPr>
          <w:p w:rsidR="00771029" w:rsidRPr="00985AED" w:rsidRDefault="004D78F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Quality Manager</w:t>
            </w:r>
          </w:p>
        </w:tc>
      </w:tr>
      <w:tr w:rsidR="00771029" w:rsidRPr="00037028" w:rsidTr="00DA4206">
        <w:tc>
          <w:tcPr>
            <w:tcW w:w="2547" w:type="dxa"/>
            <w:shd w:val="clear" w:color="auto" w:fill="00A08D"/>
          </w:tcPr>
          <w:p w:rsidR="00771029" w:rsidRPr="00037028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37028">
              <w:rPr>
                <w:rFonts w:asciiTheme="majorHAnsi" w:hAnsiTheme="majorHAnsi" w:cstheme="majorHAnsi"/>
                <w:b/>
                <w:color w:val="FFFFFF" w:themeColor="background1"/>
              </w:rPr>
              <w:t>Working Hours:</w:t>
            </w:r>
          </w:p>
        </w:tc>
        <w:tc>
          <w:tcPr>
            <w:tcW w:w="7796" w:type="dxa"/>
          </w:tcPr>
          <w:p w:rsidR="00771029" w:rsidRPr="00985AED" w:rsidRDefault="00985AED">
            <w:pPr>
              <w:rPr>
                <w:rFonts w:asciiTheme="majorHAnsi" w:hAnsiTheme="majorHAnsi" w:cstheme="majorHAnsi"/>
                <w:b/>
              </w:rPr>
            </w:pPr>
            <w:r w:rsidRPr="00985AED">
              <w:rPr>
                <w:rFonts w:asciiTheme="majorHAnsi" w:hAnsiTheme="majorHAnsi" w:cstheme="majorHAnsi"/>
                <w:b/>
              </w:rPr>
              <w:t>35 hours per week</w:t>
            </w:r>
            <w:r w:rsidR="00E639E3">
              <w:rPr>
                <w:rFonts w:asciiTheme="majorHAnsi" w:hAnsiTheme="majorHAnsi" w:cstheme="majorHAnsi"/>
                <w:b/>
              </w:rPr>
              <w:t xml:space="preserve"> –( part time, job share, secondment considered)</w:t>
            </w:r>
          </w:p>
        </w:tc>
      </w:tr>
      <w:tr w:rsidR="0048576E" w:rsidRPr="00037028" w:rsidTr="00DA4206">
        <w:tc>
          <w:tcPr>
            <w:tcW w:w="2547" w:type="dxa"/>
            <w:shd w:val="clear" w:color="auto" w:fill="00A08D"/>
          </w:tcPr>
          <w:p w:rsidR="0048576E" w:rsidRPr="00037028" w:rsidRDefault="004857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Salary</w:t>
            </w:r>
            <w:r w:rsidR="00ED5C3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Range</w:t>
            </w:r>
          </w:p>
        </w:tc>
        <w:tc>
          <w:tcPr>
            <w:tcW w:w="7796" w:type="dxa"/>
          </w:tcPr>
          <w:p w:rsidR="0048576E" w:rsidRPr="00985AED" w:rsidRDefault="00ED5C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£27,741 – 29,577</w:t>
            </w:r>
            <w:r w:rsidR="0048576E">
              <w:rPr>
                <w:rFonts w:asciiTheme="majorHAnsi" w:hAnsiTheme="majorHAnsi" w:cstheme="majorHAnsi"/>
                <w:b/>
              </w:rPr>
              <w:t xml:space="preserve"> per annum plus pension</w:t>
            </w:r>
          </w:p>
        </w:tc>
      </w:tr>
      <w:tr w:rsidR="00771029" w:rsidRPr="00037028" w:rsidTr="00DA4206">
        <w:tc>
          <w:tcPr>
            <w:tcW w:w="2547" w:type="dxa"/>
            <w:shd w:val="clear" w:color="auto" w:fill="00A08D"/>
          </w:tcPr>
          <w:p w:rsidR="00771029" w:rsidRPr="00037028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37028">
              <w:rPr>
                <w:rFonts w:asciiTheme="majorHAnsi" w:hAnsiTheme="majorHAnsi" w:cstheme="majorHAnsi"/>
                <w:b/>
                <w:color w:val="FFFFFF" w:themeColor="background1"/>
              </w:rPr>
              <w:t>Type / Duration:</w:t>
            </w:r>
          </w:p>
        </w:tc>
        <w:tc>
          <w:tcPr>
            <w:tcW w:w="7796" w:type="dxa"/>
          </w:tcPr>
          <w:p w:rsidR="00771029" w:rsidRPr="00985AED" w:rsidRDefault="0048576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  <w:r w:rsidRPr="0048576E">
              <w:rPr>
                <w:rFonts w:asciiTheme="majorHAnsi" w:hAnsiTheme="majorHAnsi" w:cstheme="majorHAnsi"/>
                <w:b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</w:rPr>
              <w:t xml:space="preserve"> March 2022 with likely extension</w:t>
            </w:r>
          </w:p>
        </w:tc>
      </w:tr>
      <w:tr w:rsidR="00771029" w:rsidRPr="00037028" w:rsidTr="00DA4206">
        <w:tc>
          <w:tcPr>
            <w:tcW w:w="2547" w:type="dxa"/>
            <w:shd w:val="clear" w:color="auto" w:fill="00A08D"/>
          </w:tcPr>
          <w:p w:rsidR="00771029" w:rsidRPr="00037028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37028">
              <w:rPr>
                <w:rFonts w:asciiTheme="majorHAnsi" w:hAnsiTheme="majorHAnsi" w:cstheme="majorHAnsi"/>
                <w:b/>
                <w:color w:val="FFFFFF" w:themeColor="background1"/>
              </w:rPr>
              <w:t>Special Circumstances:</w:t>
            </w:r>
          </w:p>
        </w:tc>
        <w:tc>
          <w:tcPr>
            <w:tcW w:w="7796" w:type="dxa"/>
          </w:tcPr>
          <w:p w:rsidR="00771029" w:rsidRPr="00D6596F" w:rsidRDefault="00157265" w:rsidP="00157265">
            <w:pPr>
              <w:pStyle w:val="ListParagraph"/>
              <w:numPr>
                <w:ilvl w:val="0"/>
                <w:numId w:val="19"/>
              </w:numPr>
              <w:ind w:left="311" w:hanging="283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D6596F">
              <w:rPr>
                <w:rFonts w:asciiTheme="majorHAnsi" w:eastAsia="Times New Roman" w:hAnsiTheme="majorHAnsi" w:cs="Calibri"/>
                <w:sz w:val="22"/>
                <w:szCs w:val="22"/>
              </w:rPr>
              <w:t>Ability to be flexible and adaptable - a</w:t>
            </w:r>
            <w:r w:rsidRPr="00D6596F">
              <w:rPr>
                <w:rFonts w:asciiTheme="majorHAnsi" w:eastAsia="Times New Roman" w:hAnsiTheme="majorHAnsi" w:cs="Calibri"/>
                <w:color w:val="000000"/>
                <w:sz w:val="22"/>
                <w:szCs w:val="22"/>
              </w:rPr>
              <w:t>dditional hours may be necessary to meet the demands of the post</w:t>
            </w:r>
            <w:r w:rsidRPr="00D6596F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(including on occasion evenings and weekends) as appropriate and/or travel within the UK (or ROI as required).</w:t>
            </w:r>
          </w:p>
        </w:tc>
      </w:tr>
    </w:tbl>
    <w:p w:rsidR="00320CEC" w:rsidRPr="00DA4206" w:rsidRDefault="00320CEC" w:rsidP="00771029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37028" w:rsidRPr="00037028" w:rsidTr="00DA4206">
        <w:tc>
          <w:tcPr>
            <w:tcW w:w="10343" w:type="dxa"/>
          </w:tcPr>
          <w:p w:rsidR="00037028" w:rsidRPr="00037028" w:rsidRDefault="00037028" w:rsidP="00771029">
            <w:pPr>
              <w:rPr>
                <w:rFonts w:asciiTheme="majorHAnsi" w:hAnsiTheme="majorHAnsi" w:cstheme="majorHAnsi"/>
                <w:b/>
                <w:color w:val="642F6A"/>
              </w:rPr>
            </w:pPr>
            <w:r w:rsidRPr="00037028">
              <w:rPr>
                <w:rFonts w:asciiTheme="majorHAnsi" w:hAnsiTheme="majorHAnsi" w:cstheme="majorHAnsi"/>
                <w:b/>
                <w:color w:val="642F6A"/>
              </w:rPr>
              <w:t>Job Purpose</w:t>
            </w:r>
          </w:p>
          <w:p w:rsidR="00037028" w:rsidRPr="00037028" w:rsidRDefault="00BE3585" w:rsidP="0003702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work with the team</w:t>
            </w:r>
            <w:r w:rsidR="00E21642">
              <w:rPr>
                <w:rFonts w:asciiTheme="majorHAnsi" w:hAnsiTheme="majorHAnsi" w:cstheme="majorHAnsi"/>
                <w:sz w:val="22"/>
                <w:szCs w:val="22"/>
              </w:rPr>
              <w:t xml:space="preserve"> to evolve quality standards, initiatives and procedures and ensure their consistent </w:t>
            </w:r>
            <w:r w:rsidR="000971BA">
              <w:rPr>
                <w:rFonts w:asciiTheme="majorHAnsi" w:hAnsiTheme="majorHAnsi" w:cstheme="majorHAnsi"/>
                <w:sz w:val="22"/>
                <w:szCs w:val="22"/>
              </w:rPr>
              <w:t>implement</w:t>
            </w:r>
            <w:r w:rsidR="00E21642">
              <w:rPr>
                <w:rFonts w:asciiTheme="majorHAnsi" w:hAnsiTheme="majorHAnsi" w:cstheme="majorHAnsi"/>
                <w:sz w:val="22"/>
                <w:szCs w:val="22"/>
              </w:rPr>
              <w:t>ation</w:t>
            </w:r>
            <w:r w:rsidR="000971B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C51CC">
              <w:rPr>
                <w:rFonts w:asciiTheme="majorHAnsi" w:hAnsiTheme="majorHAnsi" w:cstheme="majorHAnsi"/>
                <w:sz w:val="22"/>
                <w:szCs w:val="22"/>
              </w:rPr>
              <w:t>within Advice NI and across the advice network</w:t>
            </w:r>
            <w:r w:rsidR="00E21642">
              <w:rPr>
                <w:rFonts w:asciiTheme="majorHAnsi" w:hAnsiTheme="majorHAnsi" w:cstheme="majorHAnsi"/>
                <w:sz w:val="22"/>
                <w:szCs w:val="22"/>
              </w:rPr>
              <w:t xml:space="preserve"> against agreed KPIs</w:t>
            </w:r>
            <w:r w:rsidR="009C51C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:rsidR="00DA4206" w:rsidRDefault="00DA4206" w:rsidP="00037028">
      <w:pPr>
        <w:jc w:val="both"/>
      </w:pPr>
    </w:p>
    <w:p w:rsidR="00DA4206" w:rsidRPr="00DA4206" w:rsidRDefault="00DA4206" w:rsidP="00037028">
      <w:pPr>
        <w:jc w:val="both"/>
        <w:rPr>
          <w:b/>
        </w:rPr>
      </w:pPr>
      <w:r w:rsidRPr="00DA4206">
        <w:rPr>
          <w:b/>
        </w:rPr>
        <w:t xml:space="preserve">Key Responsibilities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781350" w:rsidRPr="00037028" w:rsidTr="00DA4206">
        <w:tc>
          <w:tcPr>
            <w:tcW w:w="2122" w:type="dxa"/>
            <w:shd w:val="clear" w:color="auto" w:fill="642F6A"/>
          </w:tcPr>
          <w:p w:rsidR="00781350" w:rsidRDefault="00781350" w:rsidP="00102451">
            <w:pPr>
              <w:spacing w:line="240" w:lineRule="atLeas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Strategy and Direction</w:t>
            </w:r>
          </w:p>
        </w:tc>
        <w:tc>
          <w:tcPr>
            <w:tcW w:w="8221" w:type="dxa"/>
          </w:tcPr>
          <w:p w:rsidR="00512436" w:rsidRPr="00A15D40" w:rsidRDefault="00512436" w:rsidP="00512436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Help ensure </w:t>
            </w:r>
            <w:r w:rsidRPr="00A15D40">
              <w:rPr>
                <w:rFonts w:asciiTheme="majorHAnsi" w:hAnsiTheme="majorHAnsi" w:cstheme="majorHAnsi"/>
                <w:b/>
                <w:sz w:val="22"/>
              </w:rPr>
              <w:t>the delivery of the operational implementation of the strategic plan in line with agreed outcomes.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Contribute (as appropriate) to the development of the strategic plan and support the implementation of the operational plan.</w:t>
            </w:r>
          </w:p>
          <w:p w:rsidR="00781350" w:rsidRDefault="00512436" w:rsidP="0051243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Provide subject matter expertise, information and/or advice for areas under remit to enable effective decision making.</w:t>
            </w:r>
          </w:p>
        </w:tc>
      </w:tr>
      <w:tr w:rsidR="00781350" w:rsidRPr="00037028" w:rsidTr="00DA4206">
        <w:tc>
          <w:tcPr>
            <w:tcW w:w="2122" w:type="dxa"/>
            <w:shd w:val="clear" w:color="auto" w:fill="642F6A"/>
          </w:tcPr>
          <w:p w:rsidR="00781350" w:rsidRDefault="00781350" w:rsidP="00102451">
            <w:pPr>
              <w:spacing w:line="240" w:lineRule="atLeas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Represent the Organisation</w:t>
            </w:r>
          </w:p>
        </w:tc>
        <w:tc>
          <w:tcPr>
            <w:tcW w:w="8221" w:type="dxa"/>
          </w:tcPr>
          <w:p w:rsidR="00512436" w:rsidRPr="00A15D40" w:rsidRDefault="00512436" w:rsidP="0051243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A15D40">
              <w:rPr>
                <w:rFonts w:asciiTheme="majorHAnsi" w:hAnsiTheme="majorHAnsi" w:cstheme="majorHAnsi"/>
                <w:b/>
                <w:sz w:val="22"/>
              </w:rPr>
              <w:t>Represent the organisation.</w:t>
            </w:r>
          </w:p>
          <w:p w:rsidR="00FB5D98" w:rsidRPr="00EC3805" w:rsidRDefault="00512436" w:rsidP="0051243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 xml:space="preserve">Act as an ambassador and professionally represent the organisation at appropriate external national and local forums (our members, </w:t>
            </w:r>
            <w:proofErr w:type="gramStart"/>
            <w:r w:rsidRPr="00A15D40">
              <w:rPr>
                <w:rFonts w:asciiTheme="majorHAnsi" w:hAnsiTheme="majorHAnsi" w:cstheme="majorHAnsi"/>
                <w:sz w:val="22"/>
              </w:rPr>
              <w:t>governments</w:t>
            </w:r>
            <w:proofErr w:type="gramEnd"/>
            <w:r w:rsidRPr="00A15D40">
              <w:rPr>
                <w:rFonts w:asciiTheme="majorHAnsi" w:hAnsiTheme="majorHAnsi" w:cstheme="majorHAnsi"/>
                <w:sz w:val="22"/>
              </w:rPr>
              <w:t xml:space="preserve"> departments/funders </w:t>
            </w:r>
            <w:proofErr w:type="spellStart"/>
            <w:r w:rsidRPr="00A15D40">
              <w:rPr>
                <w:rFonts w:asciiTheme="majorHAnsi" w:hAnsiTheme="majorHAnsi" w:cstheme="majorHAnsi"/>
                <w:sz w:val="22"/>
              </w:rPr>
              <w:t>etc</w:t>
            </w:r>
            <w:proofErr w:type="spellEnd"/>
            <w:r w:rsidRPr="00A15D40">
              <w:rPr>
                <w:rFonts w:asciiTheme="majorHAnsi" w:hAnsiTheme="majorHAnsi" w:cstheme="majorHAnsi"/>
                <w:sz w:val="22"/>
              </w:rPr>
              <w:t>) and co-operate with other relevant agencies as may be required.</w:t>
            </w:r>
          </w:p>
        </w:tc>
      </w:tr>
      <w:tr w:rsidR="00781350" w:rsidRPr="00037028" w:rsidTr="00DA4206">
        <w:tc>
          <w:tcPr>
            <w:tcW w:w="2122" w:type="dxa"/>
            <w:shd w:val="clear" w:color="auto" w:fill="642F6A"/>
          </w:tcPr>
          <w:p w:rsidR="00781350" w:rsidRDefault="00781350" w:rsidP="00102451">
            <w:pPr>
              <w:spacing w:line="240" w:lineRule="atLeas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Provide Leadership</w:t>
            </w:r>
          </w:p>
        </w:tc>
        <w:tc>
          <w:tcPr>
            <w:tcW w:w="8221" w:type="dxa"/>
          </w:tcPr>
          <w:p w:rsidR="00512436" w:rsidRPr="006B7026" w:rsidRDefault="00512436" w:rsidP="0051243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56EB">
              <w:rPr>
                <w:rFonts w:asciiTheme="majorHAnsi" w:hAnsiTheme="majorHAnsi" w:cstheme="majorHAnsi"/>
                <w:b/>
                <w:sz w:val="22"/>
              </w:rPr>
              <w:t>Support in the leadership and functional delivery of the team; engaging, supporting and motivating colleagues to achieve success.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Assist in promoting a culture that demonstrates the values at all times and personally adhere to same, adopting a professional approach at all times.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Be accountable for your own performance in line with a high-performance culture and participate effectively in performance and development reviews.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 xml:space="preserve">Assist in promoting communication, teamwork, engagement and </w:t>
            </w:r>
            <w:r w:rsidRPr="00A15D40">
              <w:rPr>
                <w:rFonts w:asciiTheme="majorHAnsi" w:hAnsiTheme="majorHAnsi" w:cstheme="majorHAnsi"/>
                <w:sz w:val="22"/>
                <w:szCs w:val="22"/>
              </w:rPr>
              <w:t>management of change.</w:t>
            </w:r>
          </w:p>
          <w:p w:rsidR="00781350" w:rsidRDefault="00512436" w:rsidP="0051243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  <w:szCs w:val="22"/>
              </w:rPr>
              <w:t>Support other colleagues</w:t>
            </w:r>
            <w:r w:rsidRPr="00A15D40">
              <w:rPr>
                <w:rFonts w:asciiTheme="majorHAnsi" w:hAnsiTheme="majorHAnsi" w:cstheme="majorHAnsi"/>
                <w:sz w:val="22"/>
              </w:rPr>
              <w:t>, building strong and productive working relationships with internal and external stakeholders to promote the organisation.</w:t>
            </w:r>
          </w:p>
        </w:tc>
      </w:tr>
      <w:tr w:rsidR="00037028" w:rsidRPr="00037028" w:rsidTr="00DA4206">
        <w:tc>
          <w:tcPr>
            <w:tcW w:w="2122" w:type="dxa"/>
            <w:shd w:val="clear" w:color="auto" w:fill="642F6A"/>
          </w:tcPr>
          <w:p w:rsidR="00037028" w:rsidRPr="00037028" w:rsidRDefault="00DD76CC" w:rsidP="00037028">
            <w:pPr>
              <w:spacing w:line="240" w:lineRule="atLeas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Service Delivery</w:t>
            </w:r>
            <w:r w:rsidR="0078135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and Membership Support</w:t>
            </w:r>
          </w:p>
          <w:p w:rsidR="00037028" w:rsidRPr="00037028" w:rsidRDefault="00037028" w:rsidP="0003702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8221" w:type="dxa"/>
          </w:tcPr>
          <w:p w:rsidR="00512436" w:rsidRPr="00A15D40" w:rsidRDefault="00512436" w:rsidP="00512436">
            <w:p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b/>
                <w:sz w:val="22"/>
              </w:rPr>
              <w:t>Assist in ensuring the effective and efficient service delivery in line with agreed outcomes by yourself and others.</w:t>
            </w:r>
            <w:r w:rsidRPr="00A15D4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1143FD" w:rsidRPr="00FB5D98" w:rsidRDefault="00AF752A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Work closely with the Quality Team and a</w:t>
            </w:r>
            <w:r w:rsidR="00512436">
              <w:rPr>
                <w:rFonts w:asciiTheme="majorHAnsi" w:hAnsiTheme="majorHAnsi" w:cstheme="majorHAnsi"/>
                <w:sz w:val="22"/>
              </w:rPr>
              <w:t xml:space="preserve">ssist </w:t>
            </w:r>
            <w:r w:rsidR="00D273BC">
              <w:rPr>
                <w:rFonts w:asciiTheme="majorHAnsi" w:hAnsiTheme="majorHAnsi" w:cstheme="majorHAnsi"/>
                <w:sz w:val="22"/>
              </w:rPr>
              <w:t>the Quality Manager in ensuring the organisation</w:t>
            </w:r>
            <w:r w:rsidR="001143FD" w:rsidRPr="00FB5D98">
              <w:rPr>
                <w:rFonts w:asciiTheme="majorHAnsi" w:hAnsiTheme="majorHAnsi" w:cstheme="majorHAnsi"/>
                <w:sz w:val="22"/>
              </w:rPr>
              <w:t xml:space="preserve"> continues to meet </w:t>
            </w:r>
            <w:r w:rsidR="00E21642" w:rsidRPr="00FB5D98">
              <w:rPr>
                <w:rFonts w:asciiTheme="majorHAnsi" w:hAnsiTheme="majorHAnsi" w:cstheme="majorHAnsi"/>
                <w:sz w:val="22"/>
              </w:rPr>
              <w:t xml:space="preserve">requirements against </w:t>
            </w:r>
            <w:r w:rsidR="001143FD" w:rsidRPr="00FB5D98">
              <w:rPr>
                <w:rFonts w:asciiTheme="majorHAnsi" w:hAnsiTheme="majorHAnsi" w:cstheme="majorHAnsi"/>
                <w:sz w:val="22"/>
              </w:rPr>
              <w:t>the NIAQS</w:t>
            </w:r>
            <w:r w:rsidR="00E21642" w:rsidRPr="00FB5D98">
              <w:rPr>
                <w:rFonts w:asciiTheme="majorHAnsi" w:hAnsiTheme="majorHAnsi" w:cstheme="majorHAnsi"/>
                <w:sz w:val="22"/>
              </w:rPr>
              <w:t xml:space="preserve"> (Northern Ireland</w:t>
            </w:r>
            <w:r w:rsidR="009661E1">
              <w:rPr>
                <w:rFonts w:asciiTheme="majorHAnsi" w:hAnsiTheme="majorHAnsi" w:cstheme="majorHAnsi"/>
                <w:sz w:val="22"/>
              </w:rPr>
              <w:t xml:space="preserve"> Advice</w:t>
            </w:r>
            <w:r w:rsidR="00E21642" w:rsidRPr="00FB5D98">
              <w:rPr>
                <w:rFonts w:asciiTheme="majorHAnsi" w:hAnsiTheme="majorHAnsi" w:cstheme="majorHAnsi"/>
                <w:sz w:val="22"/>
              </w:rPr>
              <w:t xml:space="preserve"> Quality Standard); </w:t>
            </w:r>
            <w:r w:rsidR="00A66A82">
              <w:rPr>
                <w:rFonts w:asciiTheme="majorHAnsi" w:hAnsiTheme="majorHAnsi" w:cstheme="majorHAnsi"/>
                <w:sz w:val="22"/>
              </w:rPr>
              <w:t xml:space="preserve">in </w:t>
            </w:r>
            <w:r>
              <w:rPr>
                <w:rFonts w:asciiTheme="majorHAnsi" w:hAnsiTheme="majorHAnsi" w:cstheme="majorHAnsi"/>
                <w:sz w:val="22"/>
              </w:rPr>
              <w:t xml:space="preserve">particular in </w:t>
            </w:r>
            <w:r w:rsidR="00A66A82">
              <w:rPr>
                <w:rFonts w:asciiTheme="majorHAnsi" w:hAnsiTheme="majorHAnsi" w:cstheme="majorHAnsi"/>
                <w:sz w:val="22"/>
              </w:rPr>
              <w:t xml:space="preserve">relation to Welfare Reform advice </w:t>
            </w:r>
            <w:r w:rsidR="00E21642" w:rsidRPr="00FB5D98">
              <w:rPr>
                <w:rFonts w:asciiTheme="majorHAnsi" w:hAnsiTheme="majorHAnsi" w:cstheme="majorHAnsi"/>
                <w:sz w:val="22"/>
              </w:rPr>
              <w:t>and/or any other frameworks</w:t>
            </w:r>
            <w:r w:rsidR="00C437B2" w:rsidRPr="00FB5D98">
              <w:rPr>
                <w:rFonts w:asciiTheme="majorHAnsi" w:hAnsiTheme="majorHAnsi" w:cstheme="majorHAnsi"/>
                <w:sz w:val="22"/>
              </w:rPr>
              <w:t xml:space="preserve"> to promote the brand and reputation of the organisation</w:t>
            </w:r>
            <w:r w:rsidR="00E21642" w:rsidRPr="00FB5D98">
              <w:rPr>
                <w:rFonts w:asciiTheme="majorHAnsi" w:hAnsiTheme="majorHAnsi" w:cstheme="majorHAnsi"/>
                <w:sz w:val="22"/>
              </w:rPr>
              <w:t>.</w:t>
            </w:r>
          </w:p>
          <w:p w:rsidR="001143FD" w:rsidRPr="00FB5D98" w:rsidRDefault="00D273BC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Support</w:t>
            </w:r>
            <w:r w:rsidR="001143FD" w:rsidRPr="00FB5D98">
              <w:rPr>
                <w:rFonts w:asciiTheme="majorHAnsi" w:hAnsiTheme="majorHAnsi" w:cstheme="majorHAnsi"/>
                <w:sz w:val="22"/>
              </w:rPr>
              <w:t xml:space="preserve"> members to achieve and retain minimum </w:t>
            </w:r>
            <w:r w:rsidRPr="00FB5D98">
              <w:rPr>
                <w:rFonts w:asciiTheme="majorHAnsi" w:hAnsiTheme="majorHAnsi" w:cstheme="majorHAnsi"/>
                <w:sz w:val="22"/>
              </w:rPr>
              <w:t xml:space="preserve">quality of advice service </w:t>
            </w:r>
            <w:r w:rsidR="001143FD" w:rsidRPr="00FB5D98">
              <w:rPr>
                <w:rFonts w:asciiTheme="majorHAnsi" w:hAnsiTheme="majorHAnsi" w:cstheme="majorHAnsi"/>
                <w:sz w:val="22"/>
              </w:rPr>
              <w:t>standards</w:t>
            </w:r>
            <w:r w:rsidR="00C437B2" w:rsidRPr="00FB5D98">
              <w:rPr>
                <w:rFonts w:asciiTheme="majorHAnsi" w:hAnsiTheme="majorHAnsi" w:cstheme="majorHAnsi"/>
                <w:sz w:val="22"/>
              </w:rPr>
              <w:t xml:space="preserve"> across the independent advice network</w:t>
            </w:r>
            <w:r w:rsidR="001143FD" w:rsidRPr="00FB5D98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FB5D98">
              <w:rPr>
                <w:rFonts w:asciiTheme="majorHAnsi" w:hAnsiTheme="majorHAnsi" w:cstheme="majorHAnsi"/>
                <w:sz w:val="22"/>
              </w:rPr>
              <w:t xml:space="preserve">and </w:t>
            </w:r>
            <w:r>
              <w:rPr>
                <w:rFonts w:asciiTheme="majorHAnsi" w:hAnsiTheme="majorHAnsi" w:cstheme="majorHAnsi"/>
                <w:sz w:val="22"/>
              </w:rPr>
              <w:t xml:space="preserve">in line with </w:t>
            </w:r>
            <w:r w:rsidRPr="00FB5D98">
              <w:rPr>
                <w:rFonts w:asciiTheme="majorHAnsi" w:hAnsiTheme="majorHAnsi" w:cstheme="majorHAnsi"/>
                <w:sz w:val="22"/>
              </w:rPr>
              <w:t>organisation</w:t>
            </w:r>
            <w:r>
              <w:rPr>
                <w:rFonts w:asciiTheme="majorHAnsi" w:hAnsiTheme="majorHAnsi" w:cstheme="majorHAnsi"/>
                <w:sz w:val="22"/>
              </w:rPr>
              <w:t>al requirements</w:t>
            </w:r>
            <w:r w:rsidRPr="00FB5D98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including the i</w:t>
            </w:r>
            <w:r w:rsidRPr="00A97D9E">
              <w:rPr>
                <w:rFonts w:asciiTheme="majorHAnsi" w:hAnsiTheme="majorHAnsi" w:cstheme="majorHAnsi"/>
                <w:sz w:val="22"/>
              </w:rPr>
              <w:t>dentif</w:t>
            </w:r>
            <w:r>
              <w:rPr>
                <w:rFonts w:asciiTheme="majorHAnsi" w:hAnsiTheme="majorHAnsi" w:cstheme="majorHAnsi"/>
                <w:sz w:val="22"/>
              </w:rPr>
              <w:t>ication</w:t>
            </w:r>
            <w:r w:rsidRPr="00A97D9E">
              <w:rPr>
                <w:rFonts w:asciiTheme="majorHAnsi" w:hAnsiTheme="majorHAnsi" w:cstheme="majorHAnsi"/>
                <w:sz w:val="22"/>
              </w:rPr>
              <w:t xml:space="preserve"> and disseminat</w:t>
            </w:r>
            <w:r>
              <w:rPr>
                <w:rFonts w:asciiTheme="majorHAnsi" w:hAnsiTheme="majorHAnsi" w:cstheme="majorHAnsi"/>
                <w:sz w:val="22"/>
              </w:rPr>
              <w:t>ion</w:t>
            </w:r>
            <w:r w:rsidRPr="00A97D9E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of </w:t>
            </w:r>
            <w:r w:rsidRPr="00A97D9E">
              <w:rPr>
                <w:rFonts w:asciiTheme="majorHAnsi" w:hAnsiTheme="majorHAnsi" w:cstheme="majorHAnsi"/>
                <w:sz w:val="22"/>
              </w:rPr>
              <w:t>information and guidance to members on quality</w:t>
            </w:r>
            <w:r>
              <w:rPr>
                <w:rFonts w:asciiTheme="majorHAnsi" w:hAnsiTheme="majorHAnsi" w:cstheme="majorHAnsi"/>
                <w:sz w:val="22"/>
              </w:rPr>
              <w:t xml:space="preserve"> matters.</w:t>
            </w:r>
          </w:p>
          <w:p w:rsidR="00FB5D98" w:rsidRDefault="00512436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Assist </w:t>
            </w:r>
            <w:r w:rsidR="0094421C">
              <w:rPr>
                <w:rFonts w:asciiTheme="majorHAnsi" w:hAnsiTheme="majorHAnsi" w:cstheme="majorHAnsi"/>
                <w:sz w:val="22"/>
              </w:rPr>
              <w:t>in ensuring</w:t>
            </w:r>
            <w:r>
              <w:rPr>
                <w:rFonts w:asciiTheme="majorHAnsi" w:hAnsiTheme="majorHAnsi" w:cstheme="majorHAnsi"/>
                <w:sz w:val="22"/>
              </w:rPr>
              <w:t xml:space="preserve"> the d</w:t>
            </w:r>
            <w:r w:rsidR="00FB5D98" w:rsidRPr="00FB5D98">
              <w:rPr>
                <w:rFonts w:asciiTheme="majorHAnsi" w:hAnsiTheme="majorHAnsi" w:cstheme="majorHAnsi"/>
                <w:sz w:val="22"/>
              </w:rPr>
              <w:t>evelop</w:t>
            </w:r>
            <w:r>
              <w:rPr>
                <w:rFonts w:asciiTheme="majorHAnsi" w:hAnsiTheme="majorHAnsi" w:cstheme="majorHAnsi"/>
                <w:sz w:val="22"/>
              </w:rPr>
              <w:t>ment</w:t>
            </w:r>
            <w:r w:rsidR="00FB5D98" w:rsidRPr="00FB5D98">
              <w:rPr>
                <w:rFonts w:asciiTheme="majorHAnsi" w:hAnsiTheme="majorHAnsi" w:cstheme="majorHAnsi"/>
                <w:sz w:val="22"/>
              </w:rPr>
              <w:t>, evo</w:t>
            </w:r>
            <w:r>
              <w:rPr>
                <w:rFonts w:asciiTheme="majorHAnsi" w:hAnsiTheme="majorHAnsi" w:cstheme="majorHAnsi"/>
                <w:sz w:val="22"/>
              </w:rPr>
              <w:t xml:space="preserve">lution </w:t>
            </w:r>
            <w:r w:rsidR="00FB5D98" w:rsidRPr="00FB5D98">
              <w:rPr>
                <w:rFonts w:asciiTheme="majorHAnsi" w:hAnsiTheme="majorHAnsi" w:cstheme="majorHAnsi"/>
                <w:sz w:val="22"/>
              </w:rPr>
              <w:t xml:space="preserve">and </w:t>
            </w:r>
            <w:r>
              <w:rPr>
                <w:rFonts w:asciiTheme="majorHAnsi" w:hAnsiTheme="majorHAnsi" w:cstheme="majorHAnsi"/>
                <w:sz w:val="22"/>
              </w:rPr>
              <w:t>maintenance of</w:t>
            </w:r>
            <w:r w:rsidR="00FB5D98" w:rsidRPr="00FB5D98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661E1">
              <w:rPr>
                <w:rFonts w:asciiTheme="majorHAnsi" w:hAnsiTheme="majorHAnsi" w:cstheme="majorHAnsi"/>
                <w:sz w:val="22"/>
              </w:rPr>
              <w:t>all quality</w:t>
            </w:r>
            <w:r w:rsidR="009661E1" w:rsidRPr="00FB5D98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FB5D98" w:rsidRPr="00FB5D98">
              <w:rPr>
                <w:rFonts w:asciiTheme="majorHAnsi" w:hAnsiTheme="majorHAnsi" w:cstheme="majorHAnsi"/>
                <w:sz w:val="22"/>
              </w:rPr>
              <w:t>assurance processes.</w:t>
            </w:r>
          </w:p>
          <w:p w:rsidR="0094421C" w:rsidRPr="0094421C" w:rsidRDefault="0094421C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FB5D98">
              <w:rPr>
                <w:rFonts w:asciiTheme="majorHAnsi" w:hAnsiTheme="majorHAnsi" w:cstheme="majorHAnsi"/>
                <w:sz w:val="22"/>
              </w:rPr>
              <w:t xml:space="preserve">Act as the </w:t>
            </w:r>
            <w:r>
              <w:rPr>
                <w:rFonts w:asciiTheme="majorHAnsi" w:hAnsiTheme="majorHAnsi" w:cstheme="majorHAnsi"/>
                <w:sz w:val="22"/>
              </w:rPr>
              <w:t>In</w:t>
            </w:r>
            <w:r w:rsidRPr="00FB5D98">
              <w:rPr>
                <w:rFonts w:asciiTheme="majorHAnsi" w:hAnsiTheme="majorHAnsi" w:cstheme="majorHAnsi"/>
                <w:sz w:val="22"/>
              </w:rPr>
              <w:t xml:space="preserve">ternal </w:t>
            </w:r>
            <w:r>
              <w:rPr>
                <w:rFonts w:asciiTheme="majorHAnsi" w:hAnsiTheme="majorHAnsi" w:cstheme="majorHAnsi"/>
                <w:sz w:val="22"/>
              </w:rPr>
              <w:t>V</w:t>
            </w:r>
            <w:r w:rsidRPr="00FB5D98">
              <w:rPr>
                <w:rFonts w:asciiTheme="majorHAnsi" w:hAnsiTheme="majorHAnsi" w:cstheme="majorHAnsi"/>
                <w:sz w:val="22"/>
              </w:rPr>
              <w:t>erifier</w:t>
            </w:r>
            <w:r>
              <w:rPr>
                <w:rFonts w:asciiTheme="majorHAnsi" w:hAnsiTheme="majorHAnsi" w:cstheme="majorHAnsi"/>
                <w:sz w:val="22"/>
              </w:rPr>
              <w:t xml:space="preserve"> (IV)</w:t>
            </w:r>
            <w:r w:rsidRPr="00FB5D98">
              <w:rPr>
                <w:rFonts w:asciiTheme="majorHAnsi" w:hAnsiTheme="majorHAnsi" w:cstheme="majorHAnsi"/>
                <w:sz w:val="22"/>
              </w:rPr>
              <w:t xml:space="preserve"> for members and for Advice NI</w:t>
            </w:r>
            <w:r w:rsidR="009661E1">
              <w:rPr>
                <w:rFonts w:asciiTheme="majorHAnsi" w:hAnsiTheme="majorHAnsi" w:cstheme="majorHAnsi"/>
                <w:sz w:val="22"/>
              </w:rPr>
              <w:t xml:space="preserve"> services</w:t>
            </w:r>
            <w:r>
              <w:rPr>
                <w:rFonts w:asciiTheme="majorHAnsi" w:hAnsiTheme="majorHAnsi" w:cstheme="majorHAnsi"/>
                <w:sz w:val="22"/>
              </w:rPr>
              <w:t>;</w:t>
            </w:r>
            <w:r w:rsidRPr="00FB5D98">
              <w:rPr>
                <w:rFonts w:asciiTheme="majorHAnsi" w:hAnsiTheme="majorHAnsi" w:cstheme="majorHAnsi"/>
                <w:sz w:val="22"/>
              </w:rPr>
              <w:t xml:space="preserve"> u</w:t>
            </w:r>
            <w:r w:rsidRPr="00FB5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ploading and checking documentation and undertaking site visits as required for verification including adherence to disability and other equality related matters.</w:t>
            </w:r>
          </w:p>
          <w:p w:rsidR="00C437B2" w:rsidRPr="00512436" w:rsidRDefault="0094421C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Co-ordinate and provide assistance in relation to External verifier (EV) processes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:rsidR="00FB5D98" w:rsidRDefault="00FB5D98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</w:t>
            </w:r>
            <w:r w:rsidRPr="00A97D9E">
              <w:rPr>
                <w:rFonts w:asciiTheme="majorHAnsi" w:hAnsiTheme="majorHAnsi" w:cstheme="majorHAnsi"/>
                <w:sz w:val="22"/>
              </w:rPr>
              <w:t>eport any issues</w:t>
            </w:r>
            <w:r>
              <w:rPr>
                <w:rFonts w:asciiTheme="majorHAnsi" w:hAnsiTheme="majorHAnsi" w:cstheme="majorHAnsi"/>
                <w:sz w:val="22"/>
              </w:rPr>
              <w:t xml:space="preserve"> that may compromise quality standards /place the project at reputational or other substantial risk.</w:t>
            </w:r>
          </w:p>
          <w:p w:rsidR="00FB5D98" w:rsidRPr="00FB5D98" w:rsidRDefault="0094421C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 xml:space="preserve">Co-ordinate, </w:t>
            </w:r>
            <w:r w:rsidR="00FB5D98">
              <w:rPr>
                <w:rFonts w:asciiTheme="majorHAnsi" w:hAnsiTheme="majorHAnsi" w:cstheme="majorHAnsi"/>
                <w:sz w:val="22"/>
              </w:rPr>
              <w:t>m</w:t>
            </w:r>
            <w:r w:rsidR="00FB5D98">
              <w:rPr>
                <w:rFonts w:ascii="Calibri Light" w:hAnsi="Calibri Light" w:cs="Calibri Light"/>
                <w:color w:val="000000"/>
                <w:sz w:val="22"/>
                <w:szCs w:val="22"/>
              </w:rPr>
              <w:t>onitor and track</w:t>
            </w:r>
            <w:r w:rsidR="005124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FB5D98">
              <w:rPr>
                <w:rFonts w:ascii="Calibri Light" w:hAnsi="Calibri Light" w:cs="Calibri Light"/>
                <w:color w:val="000000"/>
                <w:sz w:val="22"/>
                <w:szCs w:val="22"/>
              </w:rPr>
              <w:t>recommendations/corrective actions</w:t>
            </w:r>
            <w:r w:rsidR="005124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for verification processes </w:t>
            </w:r>
            <w:r w:rsidR="005124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and </w:t>
            </w:r>
            <w:r w:rsidR="00FB5D9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ensure </w:t>
            </w:r>
            <w:r w:rsidR="005124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they are </w:t>
            </w:r>
            <w:r w:rsidR="009661E1">
              <w:rPr>
                <w:rFonts w:ascii="Calibri Light" w:hAnsi="Calibri Light" w:cs="Calibri Light"/>
                <w:color w:val="000000"/>
                <w:sz w:val="22"/>
                <w:szCs w:val="22"/>
              </w:rPr>
              <w:t>done</w:t>
            </w:r>
            <w:r w:rsidR="0051243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in a timely manner</w:t>
            </w:r>
            <w:r w:rsidR="00FB5D98">
              <w:rPr>
                <w:rFonts w:ascii="Calibri Light" w:hAnsi="Calibri Light" w:cs="Calibri Light"/>
                <w:color w:val="000000"/>
                <w:sz w:val="22"/>
                <w:szCs w:val="22"/>
              </w:rPr>
              <w:t>.</w:t>
            </w:r>
          </w:p>
          <w:p w:rsidR="00C437B2" w:rsidRDefault="00C437B2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Liaise with data co-ordinator in relation </w:t>
            </w:r>
            <w:r w:rsidR="00FB5D98">
              <w:rPr>
                <w:rFonts w:asciiTheme="majorHAnsi" w:hAnsiTheme="majorHAnsi" w:cstheme="majorHAnsi"/>
                <w:sz w:val="22"/>
              </w:rPr>
              <w:t>to quality processes and be</w:t>
            </w:r>
            <w:r w:rsidR="00FB5D98" w:rsidRPr="00A97D9E">
              <w:rPr>
                <w:rFonts w:asciiTheme="majorHAnsi" w:hAnsiTheme="majorHAnsi" w:cstheme="majorHAnsi"/>
                <w:sz w:val="22"/>
              </w:rPr>
              <w:t xml:space="preserve"> aware of the impact of GDPR’s implications for the advice network</w:t>
            </w:r>
            <w:r w:rsidR="00FB5D98">
              <w:rPr>
                <w:rFonts w:asciiTheme="majorHAnsi" w:hAnsiTheme="majorHAnsi" w:cstheme="majorHAnsi"/>
                <w:sz w:val="22"/>
              </w:rPr>
              <w:t xml:space="preserve"> and take action as appropriate.</w:t>
            </w:r>
          </w:p>
          <w:p w:rsidR="00C437B2" w:rsidRPr="00512436" w:rsidRDefault="00C437B2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512436">
              <w:rPr>
                <w:rFonts w:asciiTheme="majorHAnsi" w:hAnsiTheme="majorHAnsi" w:cstheme="majorHAnsi"/>
                <w:sz w:val="22"/>
              </w:rPr>
              <w:t>Consult with parties to agree and implement consistent mechanisms and requirements for case recording.</w:t>
            </w:r>
          </w:p>
          <w:p w:rsidR="00C437B2" w:rsidRDefault="00512436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Assist </w:t>
            </w:r>
            <w:r w:rsidR="0094421C">
              <w:rPr>
                <w:rFonts w:asciiTheme="majorHAnsi" w:hAnsiTheme="majorHAnsi" w:cstheme="majorHAnsi"/>
                <w:sz w:val="22"/>
              </w:rPr>
              <w:t xml:space="preserve">in </w:t>
            </w:r>
            <w:r>
              <w:rPr>
                <w:rFonts w:asciiTheme="majorHAnsi" w:hAnsiTheme="majorHAnsi" w:cstheme="majorHAnsi"/>
                <w:sz w:val="22"/>
              </w:rPr>
              <w:t xml:space="preserve">the evolution, development and implementation </w:t>
            </w:r>
            <w:r w:rsidR="00D273BC">
              <w:rPr>
                <w:rFonts w:asciiTheme="majorHAnsi" w:hAnsiTheme="majorHAnsi" w:cstheme="majorHAnsi"/>
                <w:sz w:val="22"/>
              </w:rPr>
              <w:t xml:space="preserve">of opportunities </w:t>
            </w:r>
            <w:r>
              <w:rPr>
                <w:rFonts w:asciiTheme="majorHAnsi" w:hAnsiTheme="majorHAnsi" w:cstheme="majorHAnsi"/>
                <w:sz w:val="22"/>
              </w:rPr>
              <w:t xml:space="preserve">to streamline and consolidate Advice related standards. </w:t>
            </w:r>
          </w:p>
          <w:p w:rsidR="00FB5D98" w:rsidRDefault="00512436" w:rsidP="0094421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Support the Manager to e</w:t>
            </w:r>
            <w:r w:rsidR="00FB5D98" w:rsidRPr="00A97D9E">
              <w:rPr>
                <w:rFonts w:asciiTheme="majorHAnsi" w:hAnsiTheme="majorHAnsi" w:cstheme="majorHAnsi"/>
                <w:sz w:val="22"/>
              </w:rPr>
              <w:t>ngage with key stakeholders in relation to the quality standard and effectiveness of independent advice services</w:t>
            </w:r>
            <w:r w:rsidR="00FB5D98">
              <w:rPr>
                <w:rFonts w:asciiTheme="majorHAnsi" w:hAnsiTheme="majorHAnsi" w:cstheme="majorHAnsi"/>
                <w:sz w:val="22"/>
              </w:rPr>
              <w:t>.</w:t>
            </w:r>
          </w:p>
          <w:p w:rsidR="0094421C" w:rsidRPr="0094421C" w:rsidRDefault="00D273BC" w:rsidP="0094421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</w:t>
            </w:r>
            <w:r w:rsidR="0094421C" w:rsidRPr="00A97D9E">
              <w:rPr>
                <w:rFonts w:asciiTheme="majorHAnsi" w:hAnsiTheme="majorHAnsi" w:cstheme="majorHAnsi"/>
                <w:sz w:val="22"/>
              </w:rPr>
              <w:t>ontinual</w:t>
            </w:r>
            <w:r>
              <w:rPr>
                <w:rFonts w:asciiTheme="majorHAnsi" w:hAnsiTheme="majorHAnsi" w:cstheme="majorHAnsi"/>
                <w:sz w:val="22"/>
              </w:rPr>
              <w:t>ly</w:t>
            </w:r>
            <w:r w:rsidR="0094421C" w:rsidRPr="00A97D9E">
              <w:rPr>
                <w:rFonts w:asciiTheme="majorHAnsi" w:hAnsiTheme="majorHAnsi" w:cstheme="majorHAnsi"/>
                <w:sz w:val="22"/>
              </w:rPr>
              <w:t xml:space="preserve"> review and develop</w:t>
            </w:r>
            <w:r w:rsidR="0094421C">
              <w:rPr>
                <w:rFonts w:asciiTheme="majorHAnsi" w:hAnsiTheme="majorHAnsi" w:cstheme="majorHAnsi"/>
                <w:sz w:val="22"/>
              </w:rPr>
              <w:t>,</w:t>
            </w:r>
            <w:r w:rsidR="0094421C" w:rsidRPr="00A97D9E">
              <w:rPr>
                <w:rFonts w:asciiTheme="majorHAnsi" w:hAnsiTheme="majorHAnsi" w:cstheme="majorHAnsi"/>
                <w:sz w:val="22"/>
              </w:rPr>
              <w:t xml:space="preserve"> on an ongoing basis</w:t>
            </w:r>
            <w:r w:rsidR="0094421C">
              <w:rPr>
                <w:rFonts w:asciiTheme="majorHAnsi" w:hAnsiTheme="majorHAnsi" w:cstheme="majorHAnsi"/>
                <w:sz w:val="22"/>
              </w:rPr>
              <w:t>,</w:t>
            </w:r>
            <w:r w:rsidR="0094421C" w:rsidRPr="00A97D9E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94421C">
              <w:rPr>
                <w:rFonts w:asciiTheme="majorHAnsi" w:hAnsiTheme="majorHAnsi" w:cstheme="majorHAnsi"/>
                <w:sz w:val="22"/>
              </w:rPr>
              <w:t xml:space="preserve">of appropriate </w:t>
            </w:r>
            <w:r w:rsidR="0094421C" w:rsidRPr="00A97D9E">
              <w:rPr>
                <w:rFonts w:asciiTheme="majorHAnsi" w:hAnsiTheme="majorHAnsi" w:cstheme="majorHAnsi"/>
                <w:sz w:val="22"/>
              </w:rPr>
              <w:t xml:space="preserve">tools for the independent advice network to </w:t>
            </w:r>
            <w:r w:rsidR="0094421C">
              <w:rPr>
                <w:rFonts w:asciiTheme="majorHAnsi" w:hAnsiTheme="majorHAnsi" w:cstheme="majorHAnsi"/>
                <w:sz w:val="22"/>
              </w:rPr>
              <w:t xml:space="preserve">enable them to </w:t>
            </w:r>
            <w:r w:rsidR="0094421C" w:rsidRPr="00A97D9E">
              <w:rPr>
                <w:rFonts w:asciiTheme="majorHAnsi" w:hAnsiTheme="majorHAnsi" w:cstheme="majorHAnsi"/>
                <w:sz w:val="22"/>
              </w:rPr>
              <w:t xml:space="preserve">achieve </w:t>
            </w:r>
            <w:r w:rsidR="0094421C">
              <w:rPr>
                <w:rFonts w:asciiTheme="majorHAnsi" w:hAnsiTheme="majorHAnsi" w:cstheme="majorHAnsi"/>
                <w:sz w:val="22"/>
              </w:rPr>
              <w:t xml:space="preserve">the </w:t>
            </w:r>
            <w:r w:rsidR="0094421C" w:rsidRPr="00A97D9E">
              <w:rPr>
                <w:rFonts w:asciiTheme="majorHAnsi" w:hAnsiTheme="majorHAnsi" w:cstheme="majorHAnsi"/>
                <w:sz w:val="22"/>
              </w:rPr>
              <w:t>relevant agreed standards, including supporting documentation, processes and the online portal</w:t>
            </w:r>
            <w:r w:rsidR="0094421C">
              <w:rPr>
                <w:rFonts w:asciiTheme="majorHAnsi" w:hAnsiTheme="majorHAnsi" w:cstheme="majorHAnsi"/>
                <w:sz w:val="22"/>
              </w:rPr>
              <w:t>.</w:t>
            </w:r>
          </w:p>
          <w:p w:rsidR="001143FD" w:rsidRPr="00512436" w:rsidRDefault="00497E1B" w:rsidP="0094421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Help to d</w:t>
            </w:r>
            <w:r w:rsidRPr="00A97D9E">
              <w:rPr>
                <w:rFonts w:asciiTheme="majorHAnsi" w:hAnsiTheme="majorHAnsi" w:cstheme="majorHAnsi"/>
                <w:sz w:val="22"/>
              </w:rPr>
              <w:t xml:space="preserve">esign and </w:t>
            </w:r>
            <w:r>
              <w:rPr>
                <w:rFonts w:asciiTheme="majorHAnsi" w:hAnsiTheme="majorHAnsi" w:cstheme="majorHAnsi"/>
                <w:sz w:val="22"/>
              </w:rPr>
              <w:t xml:space="preserve">/ or </w:t>
            </w:r>
            <w:r w:rsidRPr="00A97D9E">
              <w:rPr>
                <w:rFonts w:asciiTheme="majorHAnsi" w:hAnsiTheme="majorHAnsi" w:cstheme="majorHAnsi"/>
                <w:sz w:val="22"/>
              </w:rPr>
              <w:t>deliver training and workshops in response to identified quality support needs within the network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BA20A5" w:rsidRPr="00037028" w:rsidTr="00DA4206">
        <w:tc>
          <w:tcPr>
            <w:tcW w:w="2122" w:type="dxa"/>
            <w:shd w:val="clear" w:color="auto" w:fill="642F6A"/>
          </w:tcPr>
          <w:p w:rsidR="00BA20A5" w:rsidRPr="00037028" w:rsidRDefault="00BA20A5" w:rsidP="00102451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37028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Budgets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, </w:t>
            </w:r>
            <w:r w:rsidRPr="00037028">
              <w:rPr>
                <w:rFonts w:asciiTheme="majorHAnsi" w:hAnsiTheme="majorHAnsi" w:cstheme="majorHAnsi"/>
                <w:b/>
                <w:color w:val="FFFFFF" w:themeColor="background1"/>
              </w:rPr>
              <w:t>Financial Control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and Reporting</w:t>
            </w:r>
          </w:p>
        </w:tc>
        <w:tc>
          <w:tcPr>
            <w:tcW w:w="8221" w:type="dxa"/>
          </w:tcPr>
          <w:p w:rsidR="00512436" w:rsidRPr="00A15D40" w:rsidRDefault="00512436" w:rsidP="0051243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A15D40">
              <w:rPr>
                <w:rFonts w:asciiTheme="majorHAnsi" w:hAnsiTheme="majorHAnsi" w:cstheme="majorHAnsi"/>
                <w:b/>
                <w:sz w:val="22"/>
              </w:rPr>
              <w:t>Support in the managing of resources effectively and efficiently.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Assist in the identification, preparation and submission of applications to ensure appropriate sources of funding to meet the current and long-term sustainability needs of the organisation.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Adhere to procurement policies and processes.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Monitor and control activities against budget as may be allocated.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 xml:space="preserve">Produce regular progress reports and other statistical data regarding the function’s performance against agreed plans and internal targets, </w:t>
            </w:r>
            <w:r>
              <w:rPr>
                <w:rFonts w:asciiTheme="majorHAnsi" w:hAnsiTheme="majorHAnsi" w:cstheme="majorHAnsi"/>
                <w:sz w:val="22"/>
              </w:rPr>
              <w:t>c</w:t>
            </w:r>
            <w:r w:rsidRPr="00A15D40">
              <w:rPr>
                <w:rFonts w:asciiTheme="majorHAnsi" w:hAnsiTheme="majorHAnsi" w:cstheme="majorHAnsi"/>
                <w:sz w:val="22"/>
              </w:rPr>
              <w:t>ontracts and SLA’s/funder requirements</w:t>
            </w:r>
            <w:r>
              <w:rPr>
                <w:rFonts w:asciiTheme="majorHAnsi" w:hAnsiTheme="majorHAnsi" w:cstheme="majorHAnsi"/>
                <w:sz w:val="22"/>
              </w:rPr>
              <w:t xml:space="preserve"> including financial/non-financial outcomes</w:t>
            </w:r>
            <w:r w:rsidRPr="00A15D40">
              <w:rPr>
                <w:rFonts w:asciiTheme="majorHAnsi" w:hAnsiTheme="majorHAnsi" w:cstheme="majorHAnsi"/>
                <w:sz w:val="22"/>
              </w:rPr>
              <w:t>.</w:t>
            </w:r>
          </w:p>
          <w:p w:rsidR="00BA20A5" w:rsidRPr="00AB65A2" w:rsidRDefault="00512436" w:rsidP="0051243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Assist in ensuring that the organisation’s resources (human, physical and financial) are utilised as effectively and efficiently as possible.</w:t>
            </w:r>
          </w:p>
        </w:tc>
      </w:tr>
      <w:tr w:rsidR="00BA20A5" w:rsidRPr="00037028" w:rsidTr="00DA4206">
        <w:tc>
          <w:tcPr>
            <w:tcW w:w="2122" w:type="dxa"/>
            <w:shd w:val="clear" w:color="auto" w:fill="642F6A"/>
          </w:tcPr>
          <w:p w:rsidR="00BA20A5" w:rsidRPr="00037028" w:rsidRDefault="00BA20A5" w:rsidP="001024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Quality and Compliance</w:t>
            </w:r>
          </w:p>
        </w:tc>
        <w:tc>
          <w:tcPr>
            <w:tcW w:w="8221" w:type="dxa"/>
          </w:tcPr>
          <w:p w:rsidR="00512436" w:rsidRPr="00A15D40" w:rsidRDefault="00512436" w:rsidP="00512436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A15D40">
              <w:rPr>
                <w:rFonts w:asciiTheme="majorHAnsi" w:hAnsiTheme="majorHAnsi" w:cstheme="majorHAnsi"/>
                <w:b/>
                <w:sz w:val="22"/>
              </w:rPr>
              <w:t>Ensure quality standards and compliance in line with legislation and regulations.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ajorHAnsi" w:hAnsiTheme="majorHAnsi" w:cstheme="majorHAnsi"/>
                <w:color w:val="000000"/>
              </w:rPr>
            </w:pPr>
            <w:r w:rsidRPr="00A15D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Assist in ensuring the department adheres to all organisational</w:t>
            </w:r>
            <w:r w:rsidRPr="00A15D40">
              <w:rPr>
                <w:rStyle w:val="apple-converted-space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 operational and people related </w:t>
            </w:r>
            <w:r w:rsidRPr="00A15D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policies and procedures including Equal Opportunities </w:t>
            </w:r>
            <w:r w:rsidRPr="00A15D40">
              <w:rPr>
                <w:rFonts w:asciiTheme="majorHAnsi" w:hAnsiTheme="majorHAnsi" w:cstheme="majorHAnsi"/>
                <w:sz w:val="22"/>
              </w:rPr>
              <w:t>to ensure compliance to legal obligations and management of risk</w:t>
            </w:r>
            <w:r w:rsidRPr="00A15D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for the areas under your remit.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 xml:space="preserve">Participate fully </w:t>
            </w:r>
            <w:r w:rsidRPr="00A15D4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and support </w:t>
            </w:r>
            <w:r w:rsidRPr="00A15D40">
              <w:rPr>
                <w:rFonts w:asciiTheme="majorHAnsi" w:hAnsiTheme="majorHAnsi" w:cstheme="majorHAnsi"/>
                <w:sz w:val="22"/>
              </w:rPr>
              <w:t>regular quality and other internal verification processes to ensure compliance to and maintenance of relevant quality standards and to promote the brand and reputation of the organisation.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Personally, review own work to ensure appropriate quality and compliance standards are met.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Effectively deal with complaints and issues to ensure their resolution or escalate as appropriate.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 xml:space="preserve">Keep abreast of policy developments and/or other issues which have the potential to influence or impact the organisation. </w:t>
            </w:r>
          </w:p>
          <w:p w:rsidR="00512436" w:rsidRPr="00A15D40" w:rsidRDefault="00512436" w:rsidP="005124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Assist in ensuring adherence to confidentiality, security and GDPR including access to records and other legal obligations.</w:t>
            </w:r>
          </w:p>
          <w:p w:rsidR="004946AC" w:rsidRDefault="00512436" w:rsidP="005124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 w:rsidRPr="00A15D40">
              <w:rPr>
                <w:rFonts w:asciiTheme="majorHAnsi" w:hAnsiTheme="majorHAnsi" w:cstheme="majorHAnsi"/>
                <w:sz w:val="22"/>
              </w:rPr>
              <w:t>Assist to drive a continuous service improvement culture in line with efficiency and effectiveness and best practice approaches across the organisation.</w:t>
            </w:r>
          </w:p>
          <w:p w:rsidR="00993B11" w:rsidRPr="00DA4206" w:rsidRDefault="00993B11" w:rsidP="0051243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Their own training development</w:t>
            </w:r>
          </w:p>
        </w:tc>
      </w:tr>
      <w:tr w:rsidR="00BA20A5" w:rsidRPr="00037028" w:rsidTr="00DA4206">
        <w:tc>
          <w:tcPr>
            <w:tcW w:w="2122" w:type="dxa"/>
            <w:shd w:val="clear" w:color="auto" w:fill="642F6A"/>
          </w:tcPr>
          <w:p w:rsidR="00BA20A5" w:rsidRDefault="00BA20A5" w:rsidP="001024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Health and Safety</w:t>
            </w:r>
          </w:p>
        </w:tc>
        <w:tc>
          <w:tcPr>
            <w:tcW w:w="8221" w:type="dxa"/>
          </w:tcPr>
          <w:p w:rsidR="00DA38AE" w:rsidRDefault="00DA38AE" w:rsidP="00DA38AE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Wellbeing, Health and Safety.</w:t>
            </w:r>
          </w:p>
          <w:p w:rsidR="00110E08" w:rsidRPr="002F2E2C" w:rsidRDefault="00110E08" w:rsidP="00110E0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Help to p</w:t>
            </w:r>
            <w:r w:rsidRPr="002F2E2C">
              <w:rPr>
                <w:rFonts w:asciiTheme="majorHAnsi" w:hAnsiTheme="majorHAnsi" w:cstheme="majorHAnsi"/>
                <w:sz w:val="22"/>
              </w:rPr>
              <w:t>romote wellbeing and support interventions for employees in line with organisational need.</w:t>
            </w:r>
          </w:p>
          <w:p w:rsidR="00BA20A5" w:rsidRPr="007A149C" w:rsidRDefault="00110E08" w:rsidP="00110E0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Help assist in </w:t>
            </w:r>
            <w:r w:rsidRPr="002F2E2C">
              <w:rPr>
                <w:rFonts w:asciiTheme="majorHAnsi" w:hAnsiTheme="majorHAnsi" w:cstheme="majorHAnsi"/>
                <w:sz w:val="22"/>
              </w:rPr>
              <w:t>ensur</w:t>
            </w:r>
            <w:r>
              <w:rPr>
                <w:rFonts w:asciiTheme="majorHAnsi" w:hAnsiTheme="majorHAnsi" w:cstheme="majorHAnsi"/>
                <w:sz w:val="22"/>
              </w:rPr>
              <w:t>ing</w:t>
            </w:r>
            <w:r w:rsidRPr="002F2E2C">
              <w:rPr>
                <w:rFonts w:asciiTheme="majorHAnsi" w:hAnsiTheme="majorHAnsi" w:cstheme="majorHAnsi"/>
                <w:sz w:val="22"/>
              </w:rPr>
              <w:t xml:space="preserve"> the effective management and adherence to all </w:t>
            </w:r>
            <w:r>
              <w:rPr>
                <w:rFonts w:asciiTheme="majorHAnsi" w:hAnsiTheme="majorHAnsi" w:cstheme="majorHAnsi"/>
                <w:sz w:val="22"/>
              </w:rPr>
              <w:t>h</w:t>
            </w:r>
            <w:r w:rsidRPr="002F2E2C">
              <w:rPr>
                <w:rFonts w:asciiTheme="majorHAnsi" w:hAnsiTheme="majorHAnsi" w:cstheme="majorHAnsi"/>
                <w:sz w:val="22"/>
              </w:rPr>
              <w:t xml:space="preserve">ealth and </w:t>
            </w:r>
            <w:r>
              <w:rPr>
                <w:rFonts w:asciiTheme="majorHAnsi" w:hAnsiTheme="majorHAnsi" w:cstheme="majorHAnsi"/>
                <w:sz w:val="22"/>
              </w:rPr>
              <w:t>s</w:t>
            </w:r>
            <w:r w:rsidRPr="002F2E2C">
              <w:rPr>
                <w:rFonts w:asciiTheme="majorHAnsi" w:hAnsiTheme="majorHAnsi" w:cstheme="majorHAnsi"/>
                <w:sz w:val="22"/>
              </w:rPr>
              <w:t xml:space="preserve">afety </w:t>
            </w:r>
            <w:r>
              <w:rPr>
                <w:rFonts w:asciiTheme="majorHAnsi" w:hAnsiTheme="majorHAnsi" w:cstheme="majorHAnsi"/>
                <w:sz w:val="22"/>
              </w:rPr>
              <w:t>r</w:t>
            </w:r>
            <w:r w:rsidRPr="002F2E2C">
              <w:rPr>
                <w:rFonts w:asciiTheme="majorHAnsi" w:hAnsiTheme="majorHAnsi" w:cstheme="majorHAnsi"/>
                <w:sz w:val="22"/>
              </w:rPr>
              <w:t>egulations applicable to the working environment and adhere to same, ensuring any issues are resolved and/or brought immediately to the attention of management.</w:t>
            </w:r>
          </w:p>
        </w:tc>
      </w:tr>
      <w:tr w:rsidR="00BA20A5" w:rsidRPr="00037028" w:rsidTr="00DA4206">
        <w:tc>
          <w:tcPr>
            <w:tcW w:w="2122" w:type="dxa"/>
            <w:shd w:val="clear" w:color="auto" w:fill="642F6A"/>
          </w:tcPr>
          <w:p w:rsidR="00BA20A5" w:rsidRDefault="00BA20A5" w:rsidP="001024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Other </w:t>
            </w:r>
          </w:p>
        </w:tc>
        <w:tc>
          <w:tcPr>
            <w:tcW w:w="8221" w:type="dxa"/>
          </w:tcPr>
          <w:p w:rsidR="005D0CA5" w:rsidRPr="00D6596F" w:rsidRDefault="005D0CA5" w:rsidP="005D0CA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D6596F">
              <w:rPr>
                <w:rFonts w:asciiTheme="majorHAnsi" w:eastAsia="Times New Roman" w:hAnsiTheme="majorHAnsi" w:cs="Calibri"/>
                <w:sz w:val="22"/>
                <w:szCs w:val="22"/>
              </w:rPr>
              <w:t>The post holder is expected to be flexible and undertake other duties within reason and competence as may be required due to changing priorities or circumstances.</w:t>
            </w:r>
          </w:p>
          <w:p w:rsidR="00BA20A5" w:rsidRPr="005D0CA5" w:rsidRDefault="005D0CA5" w:rsidP="005D0CA5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/>
                <w:color w:val="000000"/>
              </w:rPr>
            </w:pPr>
            <w:r w:rsidRPr="00D6596F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22"/>
                <w:szCs w:val="22"/>
              </w:rPr>
              <w:t>This job description may be subject to change in line with the changing needs and demands of the organisation.</w:t>
            </w:r>
          </w:p>
        </w:tc>
      </w:tr>
    </w:tbl>
    <w:p w:rsidR="00BD6061" w:rsidRDefault="00BD6061" w:rsidP="00BD6061">
      <w:pPr>
        <w:keepNext/>
        <w:spacing w:line="276" w:lineRule="auto"/>
        <w:jc w:val="center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lastRenderedPageBreak/>
        <w:t>Quality Co-ordinator</w:t>
      </w:r>
    </w:p>
    <w:p w:rsidR="00B63853" w:rsidRDefault="00BD6061" w:rsidP="00BD6061">
      <w:pPr>
        <w:keepNext/>
        <w:spacing w:line="276" w:lineRule="auto"/>
        <w:jc w:val="center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Job Specification</w:t>
      </w:r>
      <w:bookmarkStart w:id="0" w:name="_GoBack"/>
      <w:bookmarkEnd w:id="0"/>
    </w:p>
    <w:tbl>
      <w:tblPr>
        <w:tblW w:w="106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4"/>
        <w:gridCol w:w="5336"/>
        <w:gridCol w:w="3550"/>
      </w:tblGrid>
      <w:tr w:rsidR="00CA6C31" w:rsidRPr="00BD6061" w:rsidTr="00EF4E37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31" w:rsidRPr="00BD6061" w:rsidRDefault="00CA6C31" w:rsidP="00EF4E37">
            <w:pPr>
              <w:keepNext/>
              <w:spacing w:line="276" w:lineRule="auto"/>
              <w:rPr>
                <w:rFonts w:eastAsia="Times New Roman" w:cs="Calibri"/>
                <w:b/>
                <w:bCs/>
                <w:color w:val="000000"/>
                <w:kern w:val="3"/>
                <w:sz w:val="22"/>
                <w:szCs w:val="22"/>
                <w:lang w:eastAsia="en-GB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31" w:rsidRPr="00BD6061" w:rsidRDefault="00BD6061" w:rsidP="00EF4E37">
            <w:pPr>
              <w:spacing w:before="12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C31" w:rsidRPr="00BD6061" w:rsidRDefault="00BD6061" w:rsidP="00EF4E37">
            <w:pPr>
              <w:spacing w:line="276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Desirable</w:t>
            </w:r>
          </w:p>
        </w:tc>
      </w:tr>
      <w:tr w:rsidR="00B63853" w:rsidRPr="00BD6061" w:rsidTr="00EF4E37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keepNext/>
              <w:spacing w:line="276" w:lineRule="auto"/>
              <w:rPr>
                <w:rFonts w:eastAsia="Times New Roman" w:cs="Calibri"/>
                <w:b/>
                <w:bCs/>
                <w:color w:val="000000"/>
                <w:kern w:val="3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b/>
                <w:bCs/>
                <w:color w:val="000000"/>
                <w:kern w:val="3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before="120"/>
              <w:rPr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>Completed a generalist advice qualification e.g. Advice NI’s Adviser NI, Citizens Advice ATP Programme, Law Centre Welfare Rights Adviser Programme o</w:t>
            </w: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 demonstrably equivalent level of training.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Third level or degree standard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NIAQS Case recording and quality of advice audit training</w:t>
            </w:r>
          </w:p>
        </w:tc>
      </w:tr>
      <w:tr w:rsidR="00B63853" w:rsidRPr="00BD6061" w:rsidTr="00EF4E37">
        <w:trPr>
          <w:trHeight w:val="300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keepNext/>
              <w:spacing w:line="276" w:lineRule="auto"/>
              <w:rPr>
                <w:rFonts w:eastAsia="Times New Roman" w:cs="Calibri"/>
                <w:b/>
                <w:bCs/>
                <w:color w:val="000000"/>
                <w:kern w:val="3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b/>
                <w:bCs/>
                <w:color w:val="000000"/>
                <w:kern w:val="3"/>
                <w:sz w:val="22"/>
                <w:szCs w:val="22"/>
                <w:lang w:eastAsia="en-GB"/>
              </w:rPr>
              <w:t>Experience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before="120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 track record of providing</w:t>
            </w:r>
            <w:r w:rsidR="007A4895"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generalist welfare </w:t>
            </w: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advice to the public for 3 years within the last 5 years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 xml:space="preserve">Experience of delivering training or presentations </w:t>
            </w: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 xml:space="preserve">Demonstrated experience of </w:t>
            </w: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>co-ordinating events / activities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>Experience of organising training events/workshops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Experience of design and /or implementation of quality assurance for an organisation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Working in partnership with other agencies and volunteers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Experience of advice case checking 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63853" w:rsidRPr="00BD6061" w:rsidTr="00EF4E37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keepNext/>
              <w:spacing w:line="276" w:lineRule="auto"/>
              <w:rPr>
                <w:rFonts w:eastAsia="Times New Roman" w:cs="Calibri"/>
                <w:b/>
                <w:bCs/>
                <w:color w:val="000000"/>
                <w:kern w:val="3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b/>
                <w:bCs/>
                <w:color w:val="000000"/>
                <w:kern w:val="3"/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Excellent interpersonal and communication skills.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Excellent analytical skills for auditing work. 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Evidence of ability to understand and relay complex information and legislation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Ability to manage change and deal with conflicting interests effectively and sensitively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Ability to prioritise own workload and to use initiative regarding the organisation of advice in the Advice Centre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Ability to research information and report writing skills</w:t>
            </w: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 xml:space="preserve">Evidence of good digital skills e.g. Zoom, Microsoft Office, Excel, </w:t>
            </w:r>
            <w:proofErr w:type="spellStart"/>
            <w:r w:rsidRPr="00BD6061">
              <w:rPr>
                <w:rFonts w:cs="Calibri"/>
                <w:color w:val="000000"/>
                <w:sz w:val="22"/>
                <w:szCs w:val="22"/>
              </w:rPr>
              <w:t>Powerpoint</w:t>
            </w:r>
            <w:proofErr w:type="spellEnd"/>
            <w:r w:rsidRPr="00BD6061">
              <w:rPr>
                <w:rFonts w:cs="Calibri"/>
                <w:color w:val="000000"/>
                <w:sz w:val="22"/>
                <w:szCs w:val="22"/>
              </w:rPr>
              <w:t>, Online Safety, etc.</w:t>
            </w:r>
          </w:p>
          <w:p w:rsidR="00B63853" w:rsidRPr="00BD6061" w:rsidRDefault="00B63853" w:rsidP="00EF4E37">
            <w:pPr>
              <w:rPr>
                <w:rFonts w:eastAsia="Times New Roman" w:cs="Calibri"/>
                <w:color w:val="000000"/>
                <w:sz w:val="22"/>
                <w:szCs w:val="22"/>
                <w:vertAlign w:val="subscript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vertAlign w:val="subscript"/>
                <w:lang w:eastAsia="en-GB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Use of computerised case recording system 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Proficient in Advice Pro case recording system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rPr>
                <w:sz w:val="22"/>
                <w:szCs w:val="22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63853" w:rsidRPr="00BD6061" w:rsidTr="00EF4E37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b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b/>
                <w:bCs/>
                <w:iCs/>
                <w:color w:val="000000"/>
                <w:sz w:val="22"/>
                <w:szCs w:val="22"/>
                <w:lang w:eastAsia="en-GB"/>
              </w:rPr>
              <w:t>Knowledge/</w:t>
            </w:r>
          </w:p>
          <w:p w:rsidR="00B63853" w:rsidRPr="00BD6061" w:rsidRDefault="00B63853" w:rsidP="00EF4E37">
            <w:pPr>
              <w:spacing w:line="276" w:lineRule="auto"/>
              <w:rPr>
                <w:sz w:val="22"/>
                <w:szCs w:val="22"/>
              </w:rPr>
            </w:pPr>
            <w:r w:rsidRPr="00BD6061">
              <w:rPr>
                <w:rFonts w:eastAsia="Times New Roman" w:cs="Calibri"/>
                <w:b/>
                <w:bCs/>
                <w:iCs/>
                <w:color w:val="000000"/>
                <w:sz w:val="22"/>
                <w:szCs w:val="22"/>
                <w:lang w:eastAsia="en-GB"/>
              </w:rPr>
              <w:t>values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Understanding of current advice issues 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Sound knowledge of advice processes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>Ability to work on own initiative and as part of a small flexible team and share knowledge</w:t>
            </w: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>Have a commitment to the aims and principles of the project, e.g. equality, diversity and inclusion.</w:t>
            </w: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>An understanding of and commitment to data protection, safeguarding and confidentiality issues.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lastRenderedPageBreak/>
              <w:t xml:space="preserve">Knowledge of the quality standards within the advice sector 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  <w:r w:rsidRPr="00BD6061">
              <w:rPr>
                <w:rFonts w:cs="Calibri"/>
                <w:color w:val="000000"/>
                <w:sz w:val="22"/>
                <w:szCs w:val="22"/>
              </w:rPr>
              <w:t>Sound knowledge of the voluntary / community sector in Northern Ireland</w:t>
            </w:r>
          </w:p>
          <w:p w:rsidR="00B63853" w:rsidRPr="00BD6061" w:rsidRDefault="00B63853" w:rsidP="00EF4E37">
            <w:pPr>
              <w:rPr>
                <w:rFonts w:cs="Calibri"/>
                <w:color w:val="000000"/>
                <w:sz w:val="22"/>
                <w:szCs w:val="22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63853" w:rsidRPr="00BD6061" w:rsidTr="00EF4E37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b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b/>
                <w:bCs/>
                <w:iCs/>
                <w:color w:val="000000"/>
                <w:sz w:val="22"/>
                <w:szCs w:val="22"/>
                <w:lang w:eastAsia="en-GB"/>
              </w:rPr>
              <w:t>Personal attributes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Flexible approach to working hours.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Friendly and approachable manner.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Ability to work under pressure and to strict deadlines.</w:t>
            </w: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Accuracy and attention to detail.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63853" w:rsidRPr="00BD6061" w:rsidTr="00EF4E37">
        <w:trPr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b/>
                <w:bCs/>
                <w:iCs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b/>
                <w:bCs/>
                <w:iCs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D6061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Commitment to learning and development in a supportive environment.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853" w:rsidRPr="00BD6061" w:rsidRDefault="00B63853" w:rsidP="00EF4E37">
            <w:pPr>
              <w:spacing w:line="276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B63853" w:rsidRPr="00BD6061" w:rsidRDefault="00B63853" w:rsidP="00B63853">
      <w:pPr>
        <w:rPr>
          <w:rFonts w:cs="Calibri"/>
          <w:color w:val="000000"/>
          <w:sz w:val="22"/>
          <w:szCs w:val="22"/>
        </w:rPr>
      </w:pPr>
    </w:p>
    <w:p w:rsidR="00DD76CC" w:rsidRPr="00BD6061" w:rsidRDefault="00DD76CC" w:rsidP="00DD76CC">
      <w:pPr>
        <w:rPr>
          <w:sz w:val="22"/>
          <w:szCs w:val="22"/>
        </w:rPr>
      </w:pPr>
    </w:p>
    <w:p w:rsidR="00BD6061" w:rsidRPr="00BD6061" w:rsidRDefault="00BD6061" w:rsidP="00DD76CC">
      <w:pPr>
        <w:rPr>
          <w:sz w:val="22"/>
          <w:szCs w:val="22"/>
        </w:rPr>
      </w:pPr>
    </w:p>
    <w:p w:rsidR="00BD6061" w:rsidRPr="00BD6061" w:rsidRDefault="00BD6061" w:rsidP="00DD76CC">
      <w:pPr>
        <w:rPr>
          <w:sz w:val="22"/>
          <w:szCs w:val="22"/>
        </w:rPr>
      </w:pPr>
    </w:p>
    <w:sectPr w:rsidR="00BD6061" w:rsidRPr="00BD6061" w:rsidSect="00DA4206">
      <w:headerReference w:type="default" r:id="rId8"/>
      <w:pgSz w:w="11900" w:h="16840"/>
      <w:pgMar w:top="530" w:right="679" w:bottom="447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32" w:rsidRDefault="00D81B32" w:rsidP="00CA6C31">
      <w:r>
        <w:separator/>
      </w:r>
    </w:p>
  </w:endnote>
  <w:endnote w:type="continuationSeparator" w:id="0">
    <w:p w:rsidR="00D81B32" w:rsidRDefault="00D81B32" w:rsidP="00CA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32" w:rsidRDefault="00D81B32" w:rsidP="00CA6C31">
      <w:r>
        <w:separator/>
      </w:r>
    </w:p>
  </w:footnote>
  <w:footnote w:type="continuationSeparator" w:id="0">
    <w:p w:rsidR="00D81B32" w:rsidRDefault="00D81B32" w:rsidP="00CA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31" w:rsidRDefault="00CA6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143"/>
    <w:multiLevelType w:val="hybridMultilevel"/>
    <w:tmpl w:val="898C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48B2"/>
    <w:multiLevelType w:val="hybridMultilevel"/>
    <w:tmpl w:val="4162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30328"/>
    <w:multiLevelType w:val="hybridMultilevel"/>
    <w:tmpl w:val="9A1E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10C7"/>
    <w:multiLevelType w:val="hybridMultilevel"/>
    <w:tmpl w:val="9F6C7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41AAE"/>
    <w:multiLevelType w:val="hybridMultilevel"/>
    <w:tmpl w:val="6AE0813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233A236F"/>
    <w:multiLevelType w:val="hybridMultilevel"/>
    <w:tmpl w:val="A6DA8338"/>
    <w:lvl w:ilvl="0" w:tplc="7D023B86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36201EB1"/>
    <w:multiLevelType w:val="hybridMultilevel"/>
    <w:tmpl w:val="6ABC4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C37F3"/>
    <w:multiLevelType w:val="hybridMultilevel"/>
    <w:tmpl w:val="4C54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67CB9"/>
    <w:multiLevelType w:val="hybridMultilevel"/>
    <w:tmpl w:val="295E61A6"/>
    <w:lvl w:ilvl="0" w:tplc="39D40048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B294F"/>
    <w:multiLevelType w:val="hybridMultilevel"/>
    <w:tmpl w:val="E5D6C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A460E"/>
    <w:multiLevelType w:val="hybridMultilevel"/>
    <w:tmpl w:val="474ED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10B9E"/>
    <w:multiLevelType w:val="hybridMultilevel"/>
    <w:tmpl w:val="D7C08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B1DDF"/>
    <w:multiLevelType w:val="hybridMultilevel"/>
    <w:tmpl w:val="5E0448A4"/>
    <w:lvl w:ilvl="0" w:tplc="04AA5BC4">
      <w:start w:val="1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  <w:w w:val="105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F06862"/>
    <w:multiLevelType w:val="hybridMultilevel"/>
    <w:tmpl w:val="650C0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9D4E4F"/>
    <w:multiLevelType w:val="hybridMultilevel"/>
    <w:tmpl w:val="D7EC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8E0927"/>
    <w:multiLevelType w:val="hybridMultilevel"/>
    <w:tmpl w:val="BB2ADDA8"/>
    <w:lvl w:ilvl="0" w:tplc="39D40048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A32B60"/>
    <w:multiLevelType w:val="hybridMultilevel"/>
    <w:tmpl w:val="5670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9003B1"/>
    <w:multiLevelType w:val="hybridMultilevel"/>
    <w:tmpl w:val="A0822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A502B"/>
    <w:multiLevelType w:val="hybridMultilevel"/>
    <w:tmpl w:val="76C6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DE11D9"/>
    <w:multiLevelType w:val="hybridMultilevel"/>
    <w:tmpl w:val="704A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7362D"/>
    <w:multiLevelType w:val="hybridMultilevel"/>
    <w:tmpl w:val="49C810FA"/>
    <w:lvl w:ilvl="0" w:tplc="D94027B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6"/>
  </w:num>
  <w:num w:numId="5">
    <w:abstractNumId w:val="15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18"/>
  </w:num>
  <w:num w:numId="17">
    <w:abstractNumId w:val="14"/>
  </w:num>
  <w:num w:numId="18">
    <w:abstractNumId w:val="17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EC"/>
    <w:rsid w:val="00037028"/>
    <w:rsid w:val="000578DB"/>
    <w:rsid w:val="00086C7D"/>
    <w:rsid w:val="0008795B"/>
    <w:rsid w:val="000971BA"/>
    <w:rsid w:val="000A77A8"/>
    <w:rsid w:val="00110E08"/>
    <w:rsid w:val="001143FD"/>
    <w:rsid w:val="00116EDA"/>
    <w:rsid w:val="001534AD"/>
    <w:rsid w:val="00157265"/>
    <w:rsid w:val="00182465"/>
    <w:rsid w:val="00196BF3"/>
    <w:rsid w:val="001C0DA1"/>
    <w:rsid w:val="001C7332"/>
    <w:rsid w:val="00221053"/>
    <w:rsid w:val="00245048"/>
    <w:rsid w:val="002621E8"/>
    <w:rsid w:val="00292A4B"/>
    <w:rsid w:val="002B26D2"/>
    <w:rsid w:val="002B3966"/>
    <w:rsid w:val="003059AF"/>
    <w:rsid w:val="00320CEC"/>
    <w:rsid w:val="0033104D"/>
    <w:rsid w:val="003733E8"/>
    <w:rsid w:val="003B795A"/>
    <w:rsid w:val="004219AE"/>
    <w:rsid w:val="00440B00"/>
    <w:rsid w:val="004422BA"/>
    <w:rsid w:val="004424B9"/>
    <w:rsid w:val="00455C36"/>
    <w:rsid w:val="00466AE3"/>
    <w:rsid w:val="00474840"/>
    <w:rsid w:val="0048576E"/>
    <w:rsid w:val="004946AC"/>
    <w:rsid w:val="00495887"/>
    <w:rsid w:val="00497E1B"/>
    <w:rsid w:val="004A4F21"/>
    <w:rsid w:val="004D78FD"/>
    <w:rsid w:val="004F560B"/>
    <w:rsid w:val="00512436"/>
    <w:rsid w:val="005223D3"/>
    <w:rsid w:val="00530457"/>
    <w:rsid w:val="005577A0"/>
    <w:rsid w:val="0056209E"/>
    <w:rsid w:val="00567654"/>
    <w:rsid w:val="005A2D7B"/>
    <w:rsid w:val="005A4EC4"/>
    <w:rsid w:val="005D0CA5"/>
    <w:rsid w:val="00627CBE"/>
    <w:rsid w:val="00643AD2"/>
    <w:rsid w:val="00647D7E"/>
    <w:rsid w:val="00681511"/>
    <w:rsid w:val="007026D2"/>
    <w:rsid w:val="00741046"/>
    <w:rsid w:val="00771029"/>
    <w:rsid w:val="00781350"/>
    <w:rsid w:val="00784C8E"/>
    <w:rsid w:val="007A4895"/>
    <w:rsid w:val="0080046F"/>
    <w:rsid w:val="008064BA"/>
    <w:rsid w:val="00816BA8"/>
    <w:rsid w:val="00851BA3"/>
    <w:rsid w:val="008932A5"/>
    <w:rsid w:val="008F3197"/>
    <w:rsid w:val="00904093"/>
    <w:rsid w:val="00904C7F"/>
    <w:rsid w:val="0094421C"/>
    <w:rsid w:val="009661E1"/>
    <w:rsid w:val="00985AED"/>
    <w:rsid w:val="00993B11"/>
    <w:rsid w:val="009967BC"/>
    <w:rsid w:val="009A57CD"/>
    <w:rsid w:val="009C51CC"/>
    <w:rsid w:val="009F6B9A"/>
    <w:rsid w:val="00A00D48"/>
    <w:rsid w:val="00A235CF"/>
    <w:rsid w:val="00A50A99"/>
    <w:rsid w:val="00A66A82"/>
    <w:rsid w:val="00A96F9A"/>
    <w:rsid w:val="00A97D9E"/>
    <w:rsid w:val="00AB4891"/>
    <w:rsid w:val="00AB52CB"/>
    <w:rsid w:val="00AB65A2"/>
    <w:rsid w:val="00AF752A"/>
    <w:rsid w:val="00B52575"/>
    <w:rsid w:val="00B63853"/>
    <w:rsid w:val="00B91D08"/>
    <w:rsid w:val="00B96432"/>
    <w:rsid w:val="00BA20A5"/>
    <w:rsid w:val="00BC3508"/>
    <w:rsid w:val="00BD6061"/>
    <w:rsid w:val="00BE3585"/>
    <w:rsid w:val="00C00FA4"/>
    <w:rsid w:val="00C437B2"/>
    <w:rsid w:val="00C50026"/>
    <w:rsid w:val="00C50660"/>
    <w:rsid w:val="00C56F73"/>
    <w:rsid w:val="00C67A55"/>
    <w:rsid w:val="00C8679E"/>
    <w:rsid w:val="00CA6C31"/>
    <w:rsid w:val="00CB374E"/>
    <w:rsid w:val="00CC09B2"/>
    <w:rsid w:val="00D273BC"/>
    <w:rsid w:val="00D355E2"/>
    <w:rsid w:val="00D6596F"/>
    <w:rsid w:val="00D81B32"/>
    <w:rsid w:val="00D83668"/>
    <w:rsid w:val="00DA38AE"/>
    <w:rsid w:val="00DA4206"/>
    <w:rsid w:val="00DA7050"/>
    <w:rsid w:val="00DD76CC"/>
    <w:rsid w:val="00E21642"/>
    <w:rsid w:val="00E62AB2"/>
    <w:rsid w:val="00E639E3"/>
    <w:rsid w:val="00E922BB"/>
    <w:rsid w:val="00EA14AB"/>
    <w:rsid w:val="00EB4D8E"/>
    <w:rsid w:val="00EC6BBE"/>
    <w:rsid w:val="00ED5C3F"/>
    <w:rsid w:val="00EF443A"/>
    <w:rsid w:val="00F6297F"/>
    <w:rsid w:val="00F7327E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E4B1D"/>
  <w15:chartTrackingRefBased/>
  <w15:docId w15:val="{0CD76DB9-425D-E24F-9DF7-7A10D17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0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1D08"/>
  </w:style>
  <w:style w:type="character" w:styleId="CommentReference">
    <w:name w:val="annotation reference"/>
    <w:basedOn w:val="DefaultParagraphFont"/>
    <w:uiPriority w:val="99"/>
    <w:semiHidden/>
    <w:unhideWhenUsed/>
    <w:rsid w:val="0096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1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C31"/>
  </w:style>
  <w:style w:type="paragraph" w:styleId="Footer">
    <w:name w:val="footer"/>
    <w:basedOn w:val="Normal"/>
    <w:link w:val="FooterChar"/>
    <w:uiPriority w:val="99"/>
    <w:unhideWhenUsed/>
    <w:rsid w:val="00CA6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allen</dc:creator>
  <cp:keywords/>
  <dc:description/>
  <cp:lastModifiedBy>Alasdair Sim</cp:lastModifiedBy>
  <cp:revision>2</cp:revision>
  <cp:lastPrinted>2019-04-08T14:57:00Z</cp:lastPrinted>
  <dcterms:created xsi:type="dcterms:W3CDTF">2021-09-15T15:58:00Z</dcterms:created>
  <dcterms:modified xsi:type="dcterms:W3CDTF">2021-09-15T15:58:00Z</dcterms:modified>
</cp:coreProperties>
</file>